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Dataset Development Process Report</w:t>
      </w:r>
    </w:p>
    <w:p>
      <w:pPr>
        <w:pStyle w:val="Heading1"/>
        <w:jc w:val="center"/>
      </w:pPr>
      <w:r>
        <w:t>Adaptive Water Wisdom Engine (AWWE)</w:t>
      </w:r>
    </w:p>
    <w:p>
      <w:r>
        <w:br/>
      </w:r>
    </w:p>
    <w:p>
      <w:pPr>
        <w:pStyle w:val="Heading1"/>
      </w:pPr>
      <w:r>
        <w:t>1. Introduction</w:t>
      </w:r>
    </w:p>
    <w:p>
      <w:r>
        <w:t>This report documents the dataset simulation, feature engineering, and architectural design methodology for the Adaptive Water Wisdom Engine (AWWE) project. To solve the problem of climate-induced flood risks and water scarcity in Tamil Nadu's traditional Eri/Kanmai tank cascade networks, a robust, multi-modal dataset is required. The synthetic dataset generated models hydro-dynamic risks, geospatial parameters, and integrates qualitative local knowledge to serve as a foundation for the AI/ML decision-support system.</w:t>
      </w:r>
    </w:p>
    <w:p>
      <w:pPr>
        <w:pStyle w:val="Heading1"/>
      </w:pPr>
      <w:r>
        <w:t>2. Schema Architecture and Normalization</w:t>
      </w:r>
    </w:p>
    <w:p>
      <w:r>
        <w:t>To ensure efficient data processing and align with best practices for data engineering, the dataset is structured into a normalized schema comprising three core entities. This separation allows for distinct handling of static geospatial data versus high-velocity time-series hydrological data.</w:t>
      </w:r>
    </w:p>
    <w:p>
      <w:pPr>
        <w:pStyle w:val="ListBullet"/>
      </w:pPr>
      <w:r>
        <w:t>• Tank_Metadata: Contains static structural and geographical attributes. Key fields include the tank's maximum volumetric capacity (in MCFT), elevation data derived from DEM, its topological position in the cascade (Upstream, Intermediate, Downstream), land-use/land-cover (LULC) categorizations, and an integrated Traditional Ecological Knowledge (TEK) score.</w:t>
      </w:r>
    </w:p>
    <w:p>
      <w:pPr>
        <w:pStyle w:val="ListBullet"/>
      </w:pPr>
      <w:r>
        <w:t>• Hydrological_Readings: A dynamic time-series table capturing daily hydro-meteorological observations. It tracks rainfall (in mm), calculated surface runoff inflow, controlled agricultural outflow, and real-time storage volumes.</w:t>
      </w:r>
    </w:p>
    <w:p>
      <w:pPr>
        <w:pStyle w:val="ListBullet"/>
      </w:pPr>
      <w:r>
        <w:t>• Risk_Assessment: Stores the daily predictive targets and vulnerability metrics generated for decision support. It includes the localized siltation index, spillover risk classifications, and structural maintenance urgency flags.</w:t>
      </w:r>
    </w:p>
    <w:p>
      <w:pPr>
        <w:pStyle w:val="Heading1"/>
      </w:pPr>
      <w:r>
        <w:t>3. Simulation Methodology</w:t>
      </w:r>
    </w:p>
    <w:p>
      <w:r>
        <w:t>Given the challenge of data sparsity and historical gaps identified in the AWWE synopsis, synthetic data augmentation was employed to simulate realistic hydrological behavior over a 365-day cycle.</w:t>
      </w:r>
    </w:p>
    <w:p>
      <w:pPr>
        <w:pStyle w:val="Heading2"/>
      </w:pPr>
      <w:r>
        <w:t>3.1 Seasonal Weather Simulation</w:t>
      </w:r>
    </w:p>
    <w:p>
      <w:r>
        <w:t>Tamil Nadu's rainfall heavily depends on monsoons. The simulation utilized varying exponential distribution scales to mirror seasonal intensity: high-intensity rainfall during the Northeast Monsoon (Oct-Dec), moderate rainfall during the Southwest Monsoon (Jun-Sep), and minimal precipitation during dry seasons.</w:t>
      </w:r>
    </w:p>
    <w:p>
      <w:pPr>
        <w:pStyle w:val="Heading2"/>
      </w:pPr>
      <w:r>
        <w:t>3.2 Inflow and Storage Dynamics</w:t>
      </w:r>
    </w:p>
    <w:p>
      <w:r>
        <w:t>Inflow calculations were designed as a function of daily rainfall modulated by LULC and cascade topology. For example, downstream tanks experience amplified inflows due to the cumulative runoff from upstream channels. Storage was iteratively updated, capping at maximum capacity to calculate spillover.</w:t>
      </w:r>
    </w:p>
    <w:p>
      <w:pPr>
        <w:pStyle w:val="Heading1"/>
      </w:pPr>
      <w:r>
        <w:t>4. Feature Engineering &amp; AI/ML Target Variables</w:t>
      </w:r>
    </w:p>
    <w:p>
      <w:r>
        <w:t>The dataset integrates both physics-based and knowledge-based feature engineering to provide target variables for supervised ML models (like LSTM and XGBoost).</w:t>
      </w:r>
    </w:p>
    <w:p>
      <w:pPr>
        <w:pStyle w:val="ListBullet"/>
      </w:pPr>
      <w:r>
        <w:t>• Spillover Risk (Target for Forecasting): Categorized into 'Low', 'Medium', and 'High'. 'High' risk is triggered when daily storage exceeds the tank's maximum capacity resulting in physical spillover, while 'Medium' serves as an early-warning indicator when capacity exceeds 80%.</w:t>
      </w:r>
    </w:p>
    <w:p>
      <w:pPr>
        <w:pStyle w:val="ListBullet"/>
      </w:pPr>
      <w:r>
        <w:t>• Vulnerability Status (Target for Maintenance Optimization): Developed by combining the physical Siltation Index with the socio-qualitative TEK score. A composite vulnerability score determines if a tank is in 'Good' condition, 'Needs Maintenance', or is 'Critical', guiding the WRD's prioritization module.</w:t>
      </w:r>
    </w:p>
    <w:p>
      <w:pPr>
        <w:pStyle w:val="Heading1"/>
      </w:pPr>
      <w:r>
        <w:t>5. Conclusion</w:t>
      </w:r>
    </w:p>
    <w:p>
      <w:r>
        <w:t>The simulated AWWE dataset successfully unifies quantitative meteorological measurements with qualitative traditional management wisdom. This data architecture provides the necessary features and target labels to train, validate, and test the hydro-dynamic predictive algorithms required for the AWWE web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