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RANDALL RICE</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08/25/1975</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Lauren Ellis,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Byers</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Aetna, Medicare</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Melanie</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5</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low back in addition to their other bilateral shoulder, neck, bilateral knee pain complaints and presents today to the clinic today for a routine f/u of their usual pain complaints and/or medication refill; flare up of known pain complaints especially pain in the low back.</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The same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The same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Numb, Dull, Aching,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7/10. Best: 0/10. W/meds: 7/10. W/o meds: 9 1/2/10.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Full-time</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Yes, The Problem is being treated</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last seizure day of last office visit</w:t>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05/22/2025 okay</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06/23/2025 okay</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2 years + . Number of sessions done: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Decreased 5 lbs. BMI: 24.8. Weight: Loss</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required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143/95. Ht: 5 feet 9 inches. Wt: 168 lbs. BMI: 24.8</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05/22/2025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br/>
        <w:t xml:space="preserve"/>
        <w:br/>
        <w:t xml:space="preserve">Date: 06/23/2025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br/>
        <w:t xml:space="preserve"/>
        <w:br/>
        <w:t xml:space="preserve">Date: 07/22/2025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Cervical spine tenderness of paraspinal muscles on left.</w:t>
        <w:br/>
        <w:t xml:space="preserve">Traps/levator scapula tenderness on left.</w:t>
        <w:br/>
        <w:t xml:space="preserve"/>
        <w:br/>
        <w:t xml:space="preserve">Lumbar spine tenderness of paraspinal and/or quadratus muscles bilaterally.</w:t>
        <w:br/>
        <w:t xml:space="preserve">Gluteal tenderness bilaterally.</w:t>
        <w:br/>
        <w:t xml:space="preserve">Lumbar facet loading signs bilaterally at L2-L5.</w:t>
        <w:br/>
        <w:t xml:space="preserve">Quadrant test bilaterally.</w:t>
        <w:br/>
        <w:t xml:space="preserve">Slump/SLR bilaterally.</w:t>
        <w:br/>
        <w:t xml:space="preserve">Patrick bilaterally.</w:t>
        <w:br/>
        <w:t xml:space="preserve">SIJ tender bilaterally.</w:t>
        <w:br/>
        <w:t xml:space="preserve">Gaenslen bilaterally.</w:t>
        <w:br/>
        <w:t xml:space="preserve"/>
        <w:br/>
        <w:t xml:space="preserve">Subacromial tenderness bilaterally.</w:t>
        <w:br/>
        <w:t xml:space="preserve">Neer impingement bilaterally.</w:t>
        <w:br/>
        <w:t xml:space="preserve">Empty Can Test bilaterally.</w:t>
        <w:br/>
        <w:t xml:space="preserve"/>
        <w:br/>
        <w:t xml:space="preserve">Joint line tenderness bilaterally.</w:t>
        <w:br/>
        <w:t xml:space="preserve"/>
        <w:br/>
        <w:t xml:space="preserve">ASSESSMENT:</w:t>
        <w:br/>
        <w:t xml:space="preserve">1. Shoulder-Right-DJD – M19.011</w:t>
        <w:br/>
        <w:t xml:space="preserve">2. Shoulder-Left Bursitis – M75.52</w:t>
        <w:br/>
        <w:t xml:space="preserve">3. Shoulder-Right Bursitis – M75.51</w:t>
        <w:br/>
        <w:t xml:space="preserve">4. Facet Arthropathy, Lumbar – M46.96</w:t>
        <w:br/>
        <w:t xml:space="preserve">5. Facet Spondylosis – M47.816</w:t>
        <w:br/>
        <w:t xml:space="preserve">6. Lumbago NOS/Low Back Pain – M54.50</w:t>
        <w:br/>
        <w:t xml:space="preserve">7. Knee Pain-Left – M25.562</w:t>
        <w:br/>
        <w:t xml:space="preserve">8. Knee Pain-Right – M25.561</w:t>
        <w:br/>
        <w:t xml:space="preserve">9. Sacroiliitis (Right /or Left) – M46.1</w:t>
        <w:br/>
        <w:t xml:space="preserve">10. SIJ Arthropathy (Right /or Left) – M46.98</w:t>
        <w:br/>
        <w:t xml:space="preserve">11. SIJ Pain (Right /or Left) – M53.3</w:t>
        <w:br/>
        <w:t xml:space="preserve">12. Arthritis Rheumatoid – M06.9</w:t>
        <w:br/>
        <w:t xml:space="preserve">13. Chronic Pain – G89.29</w:t>
        <w:br/>
        <w:t xml:space="preserve">14. Myalgia (Myofascial) Pain – M79.18</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Norco 10 mg, q.i.d, p.r.n. #120 (80% pain relief obtained)</w:t>
        <w:br/>
        <w:t xml:space="preserve">3. Continue Lyrica 200 mg, t.i.d, p.r.n. #90 (80% pain relief obtained)</w:t>
        <w:br/>
        <w:t xml:space="preserve">4. Continue Tizanidine 4 mg, t.i.d, p.r.n. #90 (80%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midline caudal block</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Lauren Ellis,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RANDALL RICE</w:t>
          </w:r>
          <w:r w:rsidRPr="00307E99">
            <w:rPr>
              <w:sz w:val="20"/>
              <w:szCs w:val="20"/>
            </w:rPr>
            <w:t xml:space="preserve">              DATE OF BIRTH:</w:t>
          </w:r>
          <w:r w:rsidR="003B09C4">
            <w:rPr>
              <w:sz w:val="20"/>
              <w:szCs w:val="20"/>
            </w:rPr>
            <w:t xml:space="preserve"> 08/25/1975</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