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Cortney Lacefield,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Referring Physician:  lynch</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BCBS</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Erika</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Worse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The same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Worse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More tolerable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Cortney Lacefield, APRN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