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36"/>
          <w:szCs w:val="36"/>
        </w:rPr>
        <w:t xml:space="preserve">COMMERCIAL OFFICE LEASE AGREEMENT</w:t>
      </w:r>
    </w:p>
    <w:p>
      <w:pPr>
        <w:spacing w:after="80" w:before="0"/>
        <w:jc w:val="center"/>
      </w:pPr>
      <w:r>
        <w:rPr>
          <w:rFonts w:ascii="Arial" w:cs="Arial" w:eastAsia="Arial" w:hAnsi="Arial"/>
          <w:color w:val="6B7E8D"/>
          <w:sz w:val="22"/>
          <w:szCs w:val="22"/>
        </w:rPr>
        <w:t xml:space="preserve">555 Market Street, Floor 12  |  San Francisco, California 94105</w:t>
      </w:r>
    </w:p>
    <w:p>
      <w:pPr>
        <w:spacing w:after="360" w:before="0"/>
        <w:jc w:val="center"/>
      </w:pPr>
      <w:r>
        <w:rPr>
          <w:rFonts w:ascii="Arial" w:cs="Arial" w:eastAsia="Arial" w:hAnsi="Arial"/>
          <w:color w:val="6B7E8D"/>
          <w:sz w:val="20"/>
          <w:szCs w:val="20"/>
        </w:rPr>
        <w:t xml:space="preserve">Execution Date: December 15,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Landlord</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Pacific Gateway Properties, LLC</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Tenant</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Acme Legal Technologies, Inc.</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Premises</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Floor 12, 555 Market Street, San Francisco, CA 94105 (~18,400 sq ft)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Lease Term</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7 years</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Commencement Date</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January 1, 2022</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Expiration Date</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December 31, 2028</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Annual Base Rent</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$348,000 (Year 1) · 3% per annum escalation</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Monthly Instalment</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$29,000 (Year 1)</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Security Deposit</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$58,000 (two months' Base Rent)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Renewal Options</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Two (2) × five (5)-year options (see Section 3)</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Governing Law</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State of California</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Accounting Standard</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IFRS 16 / ASC 842 — Operating Lease</w:t>
            </w:r>
          </w:p>
        </w:tc>
      </w:tr>
    </w:tbl>
    <w:p>
      <w:pPr>
        <w:spacing w:after="0" w:before="0"/>
      </w:pPr>
      <w:r>
        <w:rPr>
          <w:rFonts w:ascii="Arial" w:cs="Arial" w:eastAsia="Arial" w:hAnsi="Arial"/>
          <w:sz w:val="22"/>
          <w:szCs w:val="22"/>
        </w:rPr>
        <w:t xml:space="preserve"> </w:t>
      </w:r>
    </w:p>
    <w:p>
      <w:pPr>
        <w:spacing w:after="160" w:before="320"/>
      </w:pPr>
      <w:r>
        <w:rPr>
          <w:rFonts w:ascii="Arial" w:cs="Arial" w:eastAsia="Arial" w:hAnsi="Arial"/>
          <w:b/>
          <w:bCs/>
          <w:sz w:val="22"/>
          <w:szCs w:val="22"/>
        </w:rPr>
        <w:t xml:space="preserve">THIS COMMERCIAL OFFICE LEASE AGREEMENT</w:t>
      </w:r>
      <w:r>
        <w:rPr>
          <w:rFonts w:ascii="Arial" w:cs="Arial" w:eastAsia="Arial" w:hAnsi="Arial"/>
          <w:sz w:val="22"/>
          <w:szCs w:val="22"/>
        </w:rPr>
        <w:t xml:space="preserve"> ("Lease") is entered into as of December 15, 2021 ("Execution Date") by and between </w:t>
      </w:r>
      <w:r>
        <w:rPr>
          <w:rFonts w:ascii="Arial" w:cs="Arial" w:eastAsia="Arial" w:hAnsi="Arial"/>
          <w:b/>
          <w:bCs/>
          <w:sz w:val="22"/>
          <w:szCs w:val="22"/>
        </w:rPr>
        <w:t xml:space="preserve">PACIFIC GATEWAY PROPERTIES, LLC</w:t>
      </w:r>
      <w:r>
        <w:rPr>
          <w:rFonts w:ascii="Arial" w:cs="Arial" w:eastAsia="Arial" w:hAnsi="Arial"/>
          <w:sz w:val="22"/>
          <w:szCs w:val="22"/>
        </w:rPr>
        <w:t xml:space="preserve">, a California limited liability company ("Landlord"), and </w:t>
      </w:r>
      <w:r>
        <w:rPr>
          <w:rFonts w:ascii="Arial" w:cs="Arial" w:eastAsia="Arial" w:hAnsi="Arial"/>
          <w:b/>
          <w:bCs/>
          <w:sz w:val="22"/>
          <w:szCs w:val="22"/>
        </w:rPr>
        <w:t xml:space="preserve">ACME LEGAL TECHNOLOGIES, INC.</w:t>
      </w:r>
      <w:r>
        <w:rPr>
          <w:rFonts w:ascii="Arial" w:cs="Arial" w:eastAsia="Arial" w:hAnsi="Arial"/>
          <w:sz w:val="22"/>
          <w:szCs w:val="22"/>
        </w:rPr>
        <w:t xml:space="preserve">, a Delaware corporation ("Tenant").</w:t>
      </w:r>
    </w:p>
    <w:p>
      <w:pPr>
        <w:pStyle w:val="Heading1"/>
        <w:pBdr>
          <w:bottom w:val="single" w:color="1B3A6B" w:sz="4" w:space="4"/>
        </w:pBdr>
        <w:spacing w:after="160" w:before="400"/>
      </w:pPr>
      <w:r>
        <w:rPr>
          <w:rFonts w:ascii="Arial" w:cs="Arial" w:eastAsia="Arial" w:hAnsi="Arial"/>
          <w:b/>
          <w:bCs/>
          <w:color w:val="1B3A6B"/>
          <w:sz w:val="26"/>
          <w:szCs w:val="26"/>
        </w:rPr>
        <w:t xml:space="preserve">1.  DEFINITIONS</w:t>
      </w:r>
    </w:p>
    <w:p>
      <w:pPr>
        <w:spacing w:after="160" w:before="0"/>
      </w:pPr>
      <w:r>
        <w:rPr>
          <w:rFonts w:ascii="Arial" w:cs="Arial" w:eastAsia="Arial" w:hAnsi="Arial"/>
          <w:sz w:val="22"/>
          <w:szCs w:val="22"/>
        </w:rPr>
        <w:t xml:space="preserve">The following capitalised terms shall have the meanings set forth below when used in this Lease:</w:t>
      </w:r>
    </w:p>
    <w:p>
      <w:pPr>
        <w:spacing w:after="100" w:before="0"/>
        <w:ind w:left="360"/>
      </w:pPr>
      <w:r>
        <w:rPr>
          <w:rFonts w:ascii="Arial" w:cs="Arial" w:eastAsia="Arial" w:hAnsi="Arial"/>
          <w:b/>
          <w:bCs/>
          <w:sz w:val="22"/>
          <w:szCs w:val="22"/>
        </w:rPr>
        <w:t xml:space="preserve">"Base Rent"  </w:t>
      </w:r>
      <w:r>
        <w:rPr>
          <w:rFonts w:ascii="Arial" w:cs="Arial" w:eastAsia="Arial" w:hAnsi="Arial"/>
          <w:sz w:val="22"/>
          <w:szCs w:val="22"/>
        </w:rPr>
        <w:t xml:space="preserve">The annual rent payable by Tenant pursuant to Section 5.1, subject to annual escalation under Section 5.3.</w:t>
      </w:r>
    </w:p>
    <w:p>
      <w:pPr>
        <w:spacing w:after="100" w:before="0"/>
        <w:ind w:left="360"/>
      </w:pPr>
      <w:r>
        <w:rPr>
          <w:rFonts w:ascii="Arial" w:cs="Arial" w:eastAsia="Arial" w:hAnsi="Arial"/>
          <w:b/>
          <w:bCs/>
          <w:sz w:val="22"/>
          <w:szCs w:val="22"/>
        </w:rPr>
        <w:t xml:space="preserve">"Building"  </w:t>
      </w:r>
      <w:r>
        <w:rPr>
          <w:rFonts w:ascii="Arial" w:cs="Arial" w:eastAsia="Arial" w:hAnsi="Arial"/>
          <w:sz w:val="22"/>
          <w:szCs w:val="22"/>
        </w:rPr>
        <w:t xml:space="preserve">The office building located at 555 Market Street, San Francisco, California 94105.</w:t>
      </w:r>
    </w:p>
    <w:p>
      <w:pPr>
        <w:spacing w:after="100" w:before="0"/>
        <w:ind w:left="360"/>
      </w:pPr>
      <w:r>
        <w:rPr>
          <w:rFonts w:ascii="Arial" w:cs="Arial" w:eastAsia="Arial" w:hAnsi="Arial"/>
          <w:b/>
          <w:bCs/>
          <w:sz w:val="22"/>
          <w:szCs w:val="22"/>
        </w:rPr>
        <w:t xml:space="preserve">"Commencement Date"  </w:t>
      </w:r>
      <w:r>
        <w:rPr>
          <w:rFonts w:ascii="Arial" w:cs="Arial" w:eastAsia="Arial" w:hAnsi="Arial"/>
          <w:sz w:val="22"/>
          <w:szCs w:val="22"/>
        </w:rPr>
        <w:t xml:space="preserve">January 1, 2022, as set forth in Section 2.1.</w:t>
      </w:r>
    </w:p>
    <w:p>
      <w:pPr>
        <w:spacing w:after="100" w:before="0"/>
        <w:ind w:left="360"/>
      </w:pPr>
      <w:r>
        <w:rPr>
          <w:rFonts w:ascii="Arial" w:cs="Arial" w:eastAsia="Arial" w:hAnsi="Arial"/>
          <w:b/>
          <w:bCs/>
          <w:sz w:val="22"/>
          <w:szCs w:val="22"/>
        </w:rPr>
        <w:t xml:space="preserve">"Expiration Date"  </w:t>
      </w:r>
      <w:r>
        <w:rPr>
          <w:rFonts w:ascii="Arial" w:cs="Arial" w:eastAsia="Arial" w:hAnsi="Arial"/>
          <w:sz w:val="22"/>
          <w:szCs w:val="22"/>
        </w:rPr>
        <w:t xml:space="preserve">December 31, 2028, unless earlier terminated or extended pursuant to the terms hereof.</w:t>
      </w:r>
    </w:p>
    <w:p>
      <w:pPr>
        <w:spacing w:after="100" w:before="0"/>
        <w:ind w:left="360"/>
      </w:pPr>
      <w:r>
        <w:rPr>
          <w:rFonts w:ascii="Arial" w:cs="Arial" w:eastAsia="Arial" w:hAnsi="Arial"/>
          <w:b/>
          <w:bCs/>
          <w:sz w:val="22"/>
          <w:szCs w:val="22"/>
        </w:rPr>
        <w:t xml:space="preserve">"Lease Term"  </w:t>
      </w:r>
      <w:r>
        <w:rPr>
          <w:rFonts w:ascii="Arial" w:cs="Arial" w:eastAsia="Arial" w:hAnsi="Arial"/>
          <w:sz w:val="22"/>
          <w:szCs w:val="22"/>
        </w:rPr>
        <w:t xml:space="preserve">The period commencing on the Commencement Date and ending on the Expiration Date.</w:t>
      </w:r>
    </w:p>
    <w:p>
      <w:pPr>
        <w:spacing w:after="100" w:before="0"/>
        <w:ind w:left="360"/>
      </w:pPr>
      <w:r>
        <w:rPr>
          <w:rFonts w:ascii="Arial" w:cs="Arial" w:eastAsia="Arial" w:hAnsi="Arial"/>
          <w:b/>
          <w:bCs/>
          <w:sz w:val="22"/>
          <w:szCs w:val="22"/>
        </w:rPr>
        <w:t xml:space="preserve">"Premises"  </w:t>
      </w:r>
      <w:r>
        <w:rPr>
          <w:rFonts w:ascii="Arial" w:cs="Arial" w:eastAsia="Arial" w:hAnsi="Arial"/>
          <w:sz w:val="22"/>
          <w:szCs w:val="22"/>
        </w:rPr>
        <w:t xml:space="preserve">Floor 12 of the Building, comprising approximately 18,400 rentable square feet, as shown on Exhibit A.</w:t>
      </w:r>
    </w:p>
    <w:p>
      <w:pPr>
        <w:spacing w:after="100" w:before="0"/>
        <w:ind w:left="360"/>
      </w:pPr>
      <w:r>
        <w:rPr>
          <w:rFonts w:ascii="Arial" w:cs="Arial" w:eastAsia="Arial" w:hAnsi="Arial"/>
          <w:b/>
          <w:bCs/>
          <w:sz w:val="22"/>
          <w:szCs w:val="22"/>
        </w:rPr>
        <w:t xml:space="preserve">"Renewal Option"  </w:t>
      </w:r>
      <w:r>
        <w:rPr>
          <w:rFonts w:ascii="Arial" w:cs="Arial" w:eastAsia="Arial" w:hAnsi="Arial"/>
          <w:sz w:val="22"/>
          <w:szCs w:val="22"/>
        </w:rPr>
        <w:t xml:space="preserve">Each of the two (2) options to extend the Lease Term as set forth in Section 3.</w:t>
      </w:r>
    </w:p>
    <w:p>
      <w:pPr>
        <w:spacing w:after="100" w:before="0"/>
        <w:ind w:left="360"/>
      </w:pPr>
      <w:r>
        <w:rPr>
          <w:rFonts w:ascii="Arial" w:cs="Arial" w:eastAsia="Arial" w:hAnsi="Arial"/>
          <w:b/>
          <w:bCs/>
          <w:sz w:val="22"/>
          <w:szCs w:val="22"/>
        </w:rPr>
        <w:t xml:space="preserve">"Renewal Term"  </w:t>
      </w:r>
      <w:r>
        <w:rPr>
          <w:rFonts w:ascii="Arial" w:cs="Arial" w:eastAsia="Arial" w:hAnsi="Arial"/>
          <w:sz w:val="22"/>
          <w:szCs w:val="22"/>
        </w:rPr>
        <w:t xml:space="preserve">Each successive five (5)-year period during which a Renewal Option is exercised.</w:t>
      </w:r>
    </w:p>
    <w:p>
      <w:pPr>
        <w:spacing w:after="100" w:before="0"/>
        <w:ind w:left="360"/>
      </w:pPr>
      <w:r>
        <w:rPr>
          <w:rFonts w:ascii="Arial" w:cs="Arial" w:eastAsia="Arial" w:hAnsi="Arial"/>
          <w:b/>
          <w:bCs/>
          <w:sz w:val="22"/>
          <w:szCs w:val="22"/>
        </w:rPr>
        <w:t xml:space="preserve">"ROU Asset"  </w:t>
      </w:r>
      <w:r>
        <w:rPr>
          <w:rFonts w:ascii="Arial" w:cs="Arial" w:eastAsia="Arial" w:hAnsi="Arial"/>
          <w:sz w:val="22"/>
          <w:szCs w:val="22"/>
        </w:rPr>
        <w:t xml:space="preserve">The right-of-use asset recognised by Tenant under IFRS 16 / ASC 842 representing the right to use the Premises.</w:t>
      </w:r>
    </w:p>
    <w:p>
      <w:pPr>
        <w:spacing w:after="100" w:before="0"/>
        <w:ind w:left="360"/>
      </w:pPr>
      <w:r>
        <w:rPr>
          <w:rFonts w:ascii="Arial" w:cs="Arial" w:eastAsia="Arial" w:hAnsi="Arial"/>
          <w:b/>
          <w:bCs/>
          <w:sz w:val="22"/>
          <w:szCs w:val="22"/>
        </w:rPr>
        <w:t xml:space="preserve">"Security Deposit"  </w:t>
      </w:r>
      <w:r>
        <w:rPr>
          <w:rFonts w:ascii="Arial" w:cs="Arial" w:eastAsia="Arial" w:hAnsi="Arial"/>
          <w:sz w:val="22"/>
          <w:szCs w:val="22"/>
        </w:rPr>
        <w:t xml:space="preserve">The sum of $58,000 deposited by Tenant with Landlord pursuant to Section 6.</w:t>
      </w:r>
    </w:p>
    <w:p>
      <w:pPr>
        <w:pStyle w:val="Heading1"/>
        <w:pBdr>
          <w:bottom w:val="single" w:color="1B3A6B" w:sz="4" w:space="4"/>
        </w:pBdr>
        <w:spacing w:after="160" w:before="400"/>
      </w:pPr>
      <w:r>
        <w:rPr>
          <w:rFonts w:ascii="Arial" w:cs="Arial" w:eastAsia="Arial" w:hAnsi="Arial"/>
          <w:b/>
          <w:bCs/>
          <w:color w:val="1B3A6B"/>
          <w:sz w:val="26"/>
          <w:szCs w:val="26"/>
        </w:rPr>
        <w:t xml:space="preserve">2.  PREMISES AND LEASE TERM</w:t>
      </w:r>
    </w:p>
    <w:p>
      <w:pPr>
        <w:spacing w:after="80" w:before="200"/>
      </w:pPr>
      <w:r>
        <w:rPr>
          <w:rFonts w:ascii="Arial" w:cs="Arial" w:eastAsia="Arial" w:hAnsi="Arial"/>
          <w:b/>
          <w:bCs/>
          <w:sz w:val="22"/>
          <w:szCs w:val="22"/>
        </w:rPr>
        <w:t xml:space="preserve">2.1  </w:t>
      </w:r>
      <w:r>
        <w:rPr>
          <w:rFonts w:ascii="Arial" w:cs="Arial" w:eastAsia="Arial" w:hAnsi="Arial"/>
          <w:b/>
          <w:bCs/>
          <w:sz w:val="22"/>
          <w:szCs w:val="22"/>
        </w:rPr>
        <w:t xml:space="preserve">Lease Term and Commencement Date</w:t>
      </w:r>
    </w:p>
    <w:p>
      <w:pPr>
        <w:spacing w:after="160" w:before="0"/>
        <w:ind w:left="360"/>
      </w:pPr>
      <w:r>
        <w:rPr>
          <w:rFonts w:ascii="Arial" w:cs="Arial" w:eastAsia="Arial" w:hAnsi="Arial"/>
          <w:sz w:val="22"/>
          <w:szCs w:val="22"/>
        </w:rPr>
        <w:t xml:space="preserve">The Lease Term shall commence on January 1, 2022 (the "Commencement Date") and shall expire on December 31, 2028 (the "Expiration Date"). The total Lease Term is seven (7) calendar years. Time is of the essence with respect to all dates set forth in this Lease.</w:t>
      </w:r>
    </w:p>
    <w:p>
      <w:pPr>
        <w:spacing w:after="80" w:before="200"/>
      </w:pPr>
      <w:r>
        <w:rPr>
          <w:rFonts w:ascii="Arial" w:cs="Arial" w:eastAsia="Arial" w:hAnsi="Arial"/>
          <w:b/>
          <w:bCs/>
          <w:sz w:val="22"/>
          <w:szCs w:val="22"/>
        </w:rPr>
        <w:t xml:space="preserve">2.2  </w:t>
      </w:r>
      <w:r>
        <w:rPr>
          <w:rFonts w:ascii="Arial" w:cs="Arial" w:eastAsia="Arial" w:hAnsi="Arial"/>
          <w:b/>
          <w:bCs/>
          <w:sz w:val="22"/>
          <w:szCs w:val="22"/>
        </w:rPr>
        <w:t xml:space="preserve">Premises</w:t>
      </w:r>
    </w:p>
    <w:p>
      <w:pPr>
        <w:spacing w:after="160" w:before="0"/>
        <w:ind w:left="360"/>
      </w:pPr>
      <w:r>
        <w:rPr>
          <w:rFonts w:ascii="Arial" w:cs="Arial" w:eastAsia="Arial" w:hAnsi="Arial"/>
          <w:sz w:val="22"/>
          <w:szCs w:val="22"/>
        </w:rPr>
        <w:t xml:space="preserve">Landlord hereby leases to Tenant and Tenant hereby leases from Landlord Floor 12 of the Building, 555 Market Street, San Francisco, California 94105, comprising approximately 18,400 rentable square feet. The Premises are delineated on the floor plan attached hereto as Exhibit A. Tenant accepts the Premises in their "as-is" condition as of the Commencement Date, subject to Landlord completing the Tenant Improvement Work described in Exhibit B.</w:t>
      </w:r>
    </w:p>
    <w:p>
      <w:pPr>
        <w:spacing w:after="80" w:before="200"/>
      </w:pPr>
      <w:r>
        <w:rPr>
          <w:rFonts w:ascii="Arial" w:cs="Arial" w:eastAsia="Arial" w:hAnsi="Arial"/>
          <w:b/>
          <w:bCs/>
          <w:sz w:val="22"/>
          <w:szCs w:val="22"/>
        </w:rPr>
        <w:t xml:space="preserve">2.3  </w:t>
      </w:r>
      <w:r>
        <w:rPr>
          <w:rFonts w:ascii="Arial" w:cs="Arial" w:eastAsia="Arial" w:hAnsi="Arial"/>
          <w:b/>
          <w:bCs/>
          <w:sz w:val="22"/>
          <w:szCs w:val="22"/>
        </w:rPr>
        <w:t xml:space="preserve">Early Access</w:t>
      </w:r>
    </w:p>
    <w:p>
      <w:pPr>
        <w:spacing w:after="160" w:before="0"/>
        <w:ind w:left="360"/>
      </w:pPr>
      <w:r>
        <w:rPr>
          <w:rFonts w:ascii="Arial" w:cs="Arial" w:eastAsia="Arial" w:hAnsi="Arial"/>
          <w:sz w:val="22"/>
          <w:szCs w:val="22"/>
        </w:rPr>
        <w:t xml:space="preserve">Landlord shall permit Tenant early access to the Premises commencing December 15, 2021 solely for installation of furniture, fixtures, and IT infrastructure. Such early access shall be governed by all terms of this Lease except that the obligation to pay Base Rent shall not commence until the Commencement Date.</w:t>
      </w:r>
    </w:p>
    <w:p>
      <w:pPr>
        <w:pStyle w:val="Heading1"/>
        <w:pBdr>
          <w:bottom w:val="single" w:color="1B3A6B" w:sz="4" w:space="4"/>
        </w:pBdr>
        <w:spacing w:after="160" w:before="400"/>
      </w:pPr>
      <w:r>
        <w:rPr>
          <w:rFonts w:ascii="Arial" w:cs="Arial" w:eastAsia="Arial" w:hAnsi="Arial"/>
          <w:b/>
          <w:bCs/>
          <w:color w:val="1B3A6B"/>
          <w:sz w:val="26"/>
          <w:szCs w:val="26"/>
        </w:rPr>
        <w:t xml:space="preserve">3.  RENEWAL OPTIONS</w:t>
      </w:r>
    </w:p>
    <w:p>
      <w:pPr>
        <w:spacing w:after="80" w:before="200"/>
      </w:pPr>
      <w:r>
        <w:rPr>
          <w:rFonts w:ascii="Arial" w:cs="Arial" w:eastAsia="Arial" w:hAnsi="Arial"/>
          <w:b/>
          <w:bCs/>
          <w:sz w:val="22"/>
          <w:szCs w:val="22"/>
        </w:rPr>
        <w:t xml:space="preserve">3.1  </w:t>
      </w:r>
      <w:r>
        <w:rPr>
          <w:rFonts w:ascii="Arial" w:cs="Arial" w:eastAsia="Arial" w:hAnsi="Arial"/>
          <w:b/>
          <w:bCs/>
          <w:sz w:val="22"/>
          <w:szCs w:val="22"/>
        </w:rPr>
        <w:t xml:space="preserve">Grant of Options</w:t>
      </w:r>
    </w:p>
    <w:p>
      <w:pPr>
        <w:spacing w:after="160" w:before="0"/>
        <w:ind w:left="360"/>
      </w:pPr>
      <w:r>
        <w:rPr>
          <w:rFonts w:ascii="Arial" w:cs="Arial" w:eastAsia="Arial" w:hAnsi="Arial"/>
          <w:sz w:val="22"/>
          <w:szCs w:val="22"/>
        </w:rPr>
        <w:t xml:space="preserve">Subject to the conditions in this Section 3, Tenant is granted two (2) consecutive options to extend the Lease Term (each, a "Renewal Option"), each for five (5) years (each, a "Renewal Term"). The first Renewal Term, if exercised, shall run January 1, 2029 through December 31, 2033. The second Renewal Term, if exercised, shall run January 1, 2034 through December 31, 2038.</w:t>
      </w:r>
    </w:p>
    <w:p>
      <w:pPr>
        <w:spacing w:after="80" w:before="200"/>
      </w:pPr>
      <w:r>
        <w:rPr>
          <w:rFonts w:ascii="Arial" w:cs="Arial" w:eastAsia="Arial" w:hAnsi="Arial"/>
          <w:b/>
          <w:bCs/>
          <w:sz w:val="22"/>
          <w:szCs w:val="22"/>
        </w:rPr>
        <w:t xml:space="preserve">3.2  </w:t>
      </w:r>
      <w:r>
        <w:rPr>
          <w:rFonts w:ascii="Arial" w:cs="Arial" w:eastAsia="Arial" w:hAnsi="Arial"/>
          <w:b/>
          <w:bCs/>
          <w:sz w:val="22"/>
          <w:szCs w:val="22"/>
        </w:rPr>
        <w:t xml:space="preserve">Exercise Procedure</w:t>
      </w:r>
    </w:p>
    <w:p>
      <w:pPr>
        <w:spacing w:after="160" w:before="0"/>
        <w:ind w:left="360"/>
      </w:pPr>
      <w:r>
        <w:rPr>
          <w:rFonts w:ascii="Arial" w:cs="Arial" w:eastAsia="Arial" w:hAnsi="Arial"/>
          <w:sz w:val="22"/>
          <w:szCs w:val="22"/>
        </w:rPr>
        <w:t xml:space="preserve">Each Renewal Option shall be exercised by written notice to Landlord delivered no later than twelve (12) months prior to the expiration of the then-current term. Time is of the essence. Each Renewal Option is personal to the original named Tenant and may not be exercised by any assignee or subtenant. Exercise is conditioned upon Tenant not being in default beyond any applicable cure period at the time of exercise and at the commencement of the Renewal Term.</w:t>
      </w:r>
    </w:p>
    <w:p>
      <w:pPr>
        <w:spacing w:after="80" w:before="200"/>
      </w:pPr>
      <w:r>
        <w:rPr>
          <w:rFonts w:ascii="Arial" w:cs="Arial" w:eastAsia="Arial" w:hAnsi="Arial"/>
          <w:b/>
          <w:bCs/>
          <w:sz w:val="22"/>
          <w:szCs w:val="22"/>
        </w:rPr>
        <w:t xml:space="preserve">3.3  </w:t>
      </w:r>
      <w:r>
        <w:rPr>
          <w:rFonts w:ascii="Arial" w:cs="Arial" w:eastAsia="Arial" w:hAnsi="Arial"/>
          <w:b/>
          <w:bCs/>
          <w:sz w:val="22"/>
          <w:szCs w:val="22"/>
        </w:rPr>
        <w:t xml:space="preserve">Renewal Rent</w:t>
      </w:r>
    </w:p>
    <w:p>
      <w:pPr>
        <w:spacing w:after="160" w:before="0"/>
        <w:ind w:left="360"/>
      </w:pPr>
      <w:r>
        <w:rPr>
          <w:rFonts w:ascii="Arial" w:cs="Arial" w:eastAsia="Arial" w:hAnsi="Arial"/>
          <w:sz w:val="22"/>
          <w:szCs w:val="22"/>
        </w:rPr>
        <w:t xml:space="preserve">Base Rent during each Renewal Term shall be the greater of: (a) one hundred percent (100%) of the then-prevailing Fair Market Rent for comparable Class A office space in San Francisco's South Financial District, determined by mutual appraisal; or (b) the Base Rent in effect during the final year of the preceding term, increased by 3% per annum through the first year of the Renewal Term.</w:t>
      </w:r>
    </w:p>
    <w:p>
      <w:pPr>
        <w:pStyle w:val="Heading1"/>
        <w:pBdr>
          <w:bottom w:val="single" w:color="1B3A6B" w:sz="4" w:space="4"/>
        </w:pBdr>
        <w:spacing w:after="160" w:before="400"/>
      </w:pPr>
      <w:r>
        <w:rPr>
          <w:rFonts w:ascii="Arial" w:cs="Arial" w:eastAsia="Arial" w:hAnsi="Arial"/>
          <w:b/>
          <w:bCs/>
          <w:color w:val="1B3A6B"/>
          <w:sz w:val="26"/>
          <w:szCs w:val="26"/>
        </w:rPr>
        <w:t xml:space="preserve">4.  PERMITTED USE</w:t>
      </w:r>
    </w:p>
    <w:p>
      <w:pPr>
        <w:spacing w:after="80" w:before="200"/>
      </w:pPr>
      <w:r>
        <w:rPr>
          <w:rFonts w:ascii="Arial" w:cs="Arial" w:eastAsia="Arial" w:hAnsi="Arial"/>
          <w:b/>
          <w:bCs/>
          <w:sz w:val="22"/>
          <w:szCs w:val="22"/>
        </w:rPr>
        <w:t xml:space="preserve">4.1  </w:t>
      </w:r>
      <w:r>
        <w:rPr>
          <w:rFonts w:ascii="Arial" w:cs="Arial" w:eastAsia="Arial" w:hAnsi="Arial"/>
          <w:b/>
          <w:bCs/>
          <w:sz w:val="22"/>
          <w:szCs w:val="22"/>
        </w:rPr>
        <w:t xml:space="preserve">Permitted Use</w:t>
      </w:r>
    </w:p>
    <w:p>
      <w:pPr>
        <w:spacing w:after="160" w:before="0"/>
        <w:ind w:left="360"/>
      </w:pPr>
      <w:r>
        <w:rPr>
          <w:rFonts w:ascii="Arial" w:cs="Arial" w:eastAsia="Arial" w:hAnsi="Arial"/>
          <w:sz w:val="22"/>
          <w:szCs w:val="22"/>
        </w:rPr>
        <w:t xml:space="preserve">Tenant shall use the Premises solely for general office, administrative, and technology operations and for no other purpose without Landlord's prior written consent (not to be unreasonably withheld). Tenant shall comply with all applicable laws, codes, and regulations at all times.</w:t>
      </w:r>
    </w:p>
    <w:p>
      <w:pPr>
        <w:pStyle w:val="Heading1"/>
        <w:pBdr>
          <w:bottom w:val="single" w:color="1B3A6B" w:sz="4" w:space="4"/>
        </w:pBdr>
        <w:spacing w:after="160" w:before="400"/>
      </w:pPr>
      <w:r>
        <w:rPr>
          <w:rFonts w:ascii="Arial" w:cs="Arial" w:eastAsia="Arial" w:hAnsi="Arial"/>
          <w:b/>
          <w:bCs/>
          <w:color w:val="1B3A6B"/>
          <w:sz w:val="26"/>
          <w:szCs w:val="26"/>
        </w:rPr>
        <w:t xml:space="preserve">5.  RENT AND PAYMENT SCHEDULE</w:t>
      </w:r>
    </w:p>
    <w:p>
      <w:pPr>
        <w:spacing w:after="80" w:before="200"/>
      </w:pPr>
      <w:r>
        <w:rPr>
          <w:rFonts w:ascii="Arial" w:cs="Arial" w:eastAsia="Arial" w:hAnsi="Arial"/>
          <w:b/>
          <w:bCs/>
          <w:sz w:val="22"/>
          <w:szCs w:val="22"/>
        </w:rPr>
        <w:t xml:space="preserve">5.1  </w:t>
      </w:r>
      <w:r>
        <w:rPr>
          <w:rFonts w:ascii="Arial" w:cs="Arial" w:eastAsia="Arial" w:hAnsi="Arial"/>
          <w:b/>
          <w:bCs/>
          <w:sz w:val="22"/>
          <w:szCs w:val="22"/>
        </w:rPr>
        <w:t xml:space="preserve">Base Rent</w:t>
      </w:r>
    </w:p>
    <w:p>
      <w:pPr>
        <w:spacing w:after="160" w:before="0"/>
        <w:ind w:left="360"/>
      </w:pPr>
      <w:r>
        <w:rPr>
          <w:rFonts w:ascii="Arial" w:cs="Arial" w:eastAsia="Arial" w:hAnsi="Arial"/>
          <w:sz w:val="22"/>
          <w:szCs w:val="22"/>
        </w:rPr>
        <w:t xml:space="preserve">Tenant shall pay to Landlord Base Rent of Three Hundred Forty-Eight Thousand Dollars ($348,000) per annum, payable in equal monthly instalments of Twenty-Nine Thousand Dollars ($29,000), in advance, on the first day of each calendar month. Base Rent for any partial month shall be prorated on a per diem basis.</w:t>
      </w:r>
    </w:p>
    <w:p>
      <w:pPr>
        <w:spacing w:after="80" w:before="200"/>
      </w:pPr>
      <w:r>
        <w:rPr>
          <w:rFonts w:ascii="Arial" w:cs="Arial" w:eastAsia="Arial" w:hAnsi="Arial"/>
          <w:b/>
          <w:bCs/>
          <w:sz w:val="22"/>
          <w:szCs w:val="22"/>
        </w:rPr>
        <w:t xml:space="preserve">5.2  </w:t>
      </w:r>
      <w:r>
        <w:rPr>
          <w:rFonts w:ascii="Arial" w:cs="Arial" w:eastAsia="Arial" w:hAnsi="Arial"/>
          <w:b/>
          <w:bCs/>
          <w:sz w:val="22"/>
          <w:szCs w:val="22"/>
        </w:rPr>
        <w:t xml:space="preserve">Annual Rent Schedule</w:t>
      </w:r>
    </w:p>
    <w:p>
      <w:pPr>
        <w:spacing w:after="120" w:before="0"/>
        <w:ind w:left="360"/>
      </w:pPr>
      <w:r>
        <w:rPr>
          <w:rFonts w:ascii="Arial" w:cs="Arial" w:eastAsia="Arial" w:hAnsi="Arial"/>
          <w:sz w:val="22"/>
          <w:szCs w:val="22"/>
        </w:rPr>
        <w:t xml:space="preserve">The following schedule sets forth the Base Rent applicable during each Lease Year, reflecting the 3% per annum escalation described in Section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1560"/>
      </w:tblGrid>
      <w:tr>
        <w:trPr>
          <w:tblHeader/>
        </w:trPr>
        <w:tc>
          <w:tcPr>
            <w:tcW w:type="dxa" w:w="1800"/>
            <w:tcBorders>
              <w:top w:val="single" w:color="D8E0E6" w:sz="1"/>
              <w:left w:val="single" w:color="D8E0E6" w:sz="1"/>
              <w:bottom w:val="single" w:color="D8E0E6" w:sz="1"/>
              <w:right w:val="single" w:color="D8E0E6" w:sz="1"/>
            </w:tcBorders>
            <w:shd w:fill="1B3A6B"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Lease Year</w:t>
            </w:r>
          </w:p>
        </w:tc>
        <w:tc>
          <w:tcPr>
            <w:tcW w:type="dxa" w:w="2200"/>
            <w:tcBorders>
              <w:top w:val="single" w:color="D8E0E6" w:sz="1"/>
              <w:left w:val="single" w:color="D8E0E6" w:sz="1"/>
              <w:bottom w:val="single" w:color="D8E0E6" w:sz="1"/>
              <w:right w:val="single" w:color="D8E0E6" w:sz="1"/>
            </w:tcBorders>
            <w:shd w:fill="1B3A6B"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Period</w:t>
            </w:r>
          </w:p>
        </w:tc>
        <w:tc>
          <w:tcPr>
            <w:tcW w:type="dxa" w:w="2200"/>
            <w:tcBorders>
              <w:top w:val="single" w:color="D8E0E6" w:sz="1"/>
              <w:left w:val="single" w:color="D8E0E6" w:sz="1"/>
              <w:bottom w:val="single" w:color="D8E0E6" w:sz="1"/>
              <w:right w:val="single" w:color="D8E0E6" w:sz="1"/>
            </w:tcBorders>
            <w:shd w:fill="1B3A6B"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Annual Rent</w:t>
            </w:r>
          </w:p>
        </w:tc>
        <w:tc>
          <w:tcPr>
            <w:tcW w:type="dxa" w:w="1600"/>
            <w:tcBorders>
              <w:top w:val="single" w:color="D8E0E6" w:sz="1"/>
              <w:left w:val="single" w:color="D8E0E6" w:sz="1"/>
              <w:bottom w:val="single" w:color="D8E0E6" w:sz="1"/>
              <w:right w:val="single" w:color="D8E0E6" w:sz="1"/>
            </w:tcBorders>
            <w:shd w:fill="1B3A6B"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Monthly</w:t>
            </w:r>
          </w:p>
        </w:tc>
        <w:tc>
          <w:tcPr>
            <w:tcW w:type="dxa" w:w="1560"/>
            <w:tcBorders>
              <w:top w:val="single" w:color="D8E0E6" w:sz="1"/>
              <w:left w:val="single" w:color="D8E0E6" w:sz="1"/>
              <w:bottom w:val="single" w:color="D8E0E6" w:sz="1"/>
              <w:right w:val="single" w:color="D8E0E6" w:sz="1"/>
            </w:tcBorders>
            <w:shd w:fill="1B3A6B"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Escalation</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1</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2022 – Dec 31 2022</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$348,000</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$29,000</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Base</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2</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2023 – Dec 31 2023</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$358,440</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$29,870</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3</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2024 – Dec 31 2024</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$369,193</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$30,766</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4</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2025 – Dec 31 2025</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$380,269</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$31,689</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5</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2026 – Dec 31 2026</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$391,677</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$32,640</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6</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2027 – Dec 31 2027</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$403,428</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$33,619</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r>
        <w:trPr>
          <w:tblHeader w:val="false"/>
        </w:trPr>
        <w:tc>
          <w:tcPr>
            <w:tcW w:type="dxa" w:w="1800"/>
            <w:tcBorders>
              <w:top w:val="single" w:color="D8E0E6" w:sz="1"/>
              <w:left w:val="single" w:color="D8E0E6" w:sz="1"/>
              <w:bottom w:val="single" w:color="D8E0E6" w:sz="1"/>
              <w:right w:val="single" w:color="D8E0E6" w:sz="1"/>
            </w:tcBorders>
            <w:shd w:fill="F5F7F9" w:val="clear"/>
            <w:tcMar>
              <w:top w:type="dxa" w:w="80"/>
              <w:left w:type="dxa" w:w="120"/>
              <w:bottom w:type="dxa" w:w="80"/>
              <w:right w:type="dxa" w:w="80"/>
            </w:tcMar>
          </w:tcPr>
          <w:p>
            <w:pPr>
              <w:spacing w:after="0" w:before="0"/>
            </w:pPr>
            <w:r>
              <w:rPr>
                <w:rFonts w:ascii="Arial" w:cs="Arial" w:eastAsia="Arial" w:hAnsi="Arial"/>
                <w:sz w:val="20"/>
                <w:szCs w:val="20"/>
              </w:rPr>
              <w:t xml:space="preserve">Year 7</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Jan 1 2028 – Dec 31 2028</w:t>
            </w:r>
          </w:p>
        </w:tc>
        <w:tc>
          <w:tcPr>
            <w:tcW w:type="dxa" w:w="22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$415,530</w:t>
            </w:r>
          </w:p>
        </w:tc>
        <w:tc>
          <w:tcPr>
            <w:tcW w:type="dxa" w:w="160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$34,628</w:t>
            </w:r>
          </w:p>
        </w:tc>
        <w:tc>
          <w:tcPr>
            <w:tcW w:type="dxa" w:w="1560"/>
            <w:tcBorders>
              <w:top w:val="single" w:color="D8E0E6" w:sz="1"/>
              <w:left w:val="single" w:color="D8E0E6" w:sz="1"/>
              <w:bottom w:val="single" w:color="D8E0E6" w:sz="1"/>
              <w:right w:val="single" w:color="D8E0E6" w:sz="1"/>
            </w:tcBorders>
            <w:shd w:fill="FFFFFF" w:val="clear"/>
            <w:tcMar>
              <w:top w:type="dxa" w:w="80"/>
              <w:left w:type="dxa" w:w="120"/>
              <w:bottom w:type="dxa" w:w="80"/>
              <w:right w:type="dxa" w:w="80"/>
            </w:tcMar>
          </w:tcPr>
          <w:p>
            <w:pPr>
              <w:spacing w:after="0" w:before="0"/>
            </w:pPr>
            <w:r>
              <w:rPr>
                <w:rFonts w:ascii="Arial" w:cs="Arial" w:eastAsia="Arial" w:hAnsi="Arial"/>
                <w:sz w:val="20"/>
                <w:szCs w:val="20"/>
              </w:rPr>
              <w:t xml:space="preserve">+3.00%</w:t>
            </w:r>
          </w:p>
        </w:tc>
      </w:tr>
    </w:tbl>
    <w:p>
      <w:pPr>
        <w:spacing w:after="0" w:before="0"/>
      </w:pPr>
      <w:r>
        <w:rPr>
          <w:rFonts w:ascii="Arial" w:cs="Arial" w:eastAsia="Arial" w:hAnsi="Arial"/>
          <w:sz w:val="22"/>
          <w:szCs w:val="22"/>
        </w:rPr>
        <w:t xml:space="preserve"> </w:t>
      </w:r>
    </w:p>
    <w:p>
      <w:pPr>
        <w:spacing w:after="80" w:before="200"/>
      </w:pPr>
      <w:r>
        <w:rPr>
          <w:rFonts w:ascii="Arial" w:cs="Arial" w:eastAsia="Arial" w:hAnsi="Arial"/>
          <w:b/>
          <w:bCs/>
          <w:sz w:val="22"/>
          <w:szCs w:val="22"/>
        </w:rPr>
        <w:t xml:space="preserve">5.3  </w:t>
      </w:r>
      <w:r>
        <w:rPr>
          <w:rFonts w:ascii="Arial" w:cs="Arial" w:eastAsia="Arial" w:hAnsi="Arial"/>
          <w:b/>
          <w:bCs/>
          <w:sz w:val="22"/>
          <w:szCs w:val="22"/>
        </w:rPr>
        <w:t xml:space="preserve">Annual Rent Escalation</w:t>
      </w:r>
    </w:p>
    <w:p>
      <w:pPr>
        <w:spacing w:after="160" w:before="0"/>
        <w:ind w:left="360"/>
      </w:pPr>
      <w:r>
        <w:rPr>
          <w:rFonts w:ascii="Arial" w:cs="Arial" w:eastAsia="Arial" w:hAnsi="Arial"/>
          <w:sz w:val="22"/>
          <w:szCs w:val="22"/>
        </w:rPr>
        <w:t xml:space="preserve">Commencing January 1, 2023 and on each January 1st thereafter during the Lease Term (each, an "Adjustment Date"), Base Rent shall increase by exactly three percent (3%) over the Base Rent in effect immediately prior to such Adjustment Date. This escalation is fixed, unconditional, and shall not be subject to any CPI linkage, market reset, or negotiation during the initial Lease Term.</w:t>
      </w:r>
    </w:p>
    <w:p>
      <w:pPr>
        <w:spacing w:after="80" w:before="200"/>
      </w:pPr>
      <w:r>
        <w:rPr>
          <w:rFonts w:ascii="Arial" w:cs="Arial" w:eastAsia="Arial" w:hAnsi="Arial"/>
          <w:b/>
          <w:bCs/>
          <w:sz w:val="22"/>
          <w:szCs w:val="22"/>
        </w:rPr>
        <w:t xml:space="preserve">5.4  </w:t>
      </w:r>
      <w:r>
        <w:rPr>
          <w:rFonts w:ascii="Arial" w:cs="Arial" w:eastAsia="Arial" w:hAnsi="Arial"/>
          <w:b/>
          <w:bCs/>
          <w:sz w:val="22"/>
          <w:szCs w:val="22"/>
        </w:rPr>
        <w:t xml:space="preserve">Additional Rent</w:t>
      </w:r>
    </w:p>
    <w:p>
      <w:pPr>
        <w:spacing w:after="160" w:before="0"/>
        <w:ind w:left="360"/>
      </w:pPr>
      <w:r>
        <w:rPr>
          <w:rFonts w:ascii="Arial" w:cs="Arial" w:eastAsia="Arial" w:hAnsi="Arial"/>
          <w:sz w:val="22"/>
          <w:szCs w:val="22"/>
        </w:rPr>
        <w:t xml:space="preserve">Tenant shall pay its proportionate share (5.90% = 18,400 / 312,000) of Operating Expenses and Real Property Taxes, subject to the caps, exclusions, and reconciliation procedures set forth in Exhibit C.</w:t>
      </w:r>
    </w:p>
    <w:p>
      <w:pPr>
        <w:spacing w:after="80" w:before="200"/>
      </w:pPr>
      <w:r>
        <w:rPr>
          <w:rFonts w:ascii="Arial" w:cs="Arial" w:eastAsia="Arial" w:hAnsi="Arial"/>
          <w:b/>
          <w:bCs/>
          <w:sz w:val="22"/>
          <w:szCs w:val="22"/>
        </w:rPr>
        <w:t xml:space="preserve">5.5  </w:t>
      </w:r>
      <w:r>
        <w:rPr>
          <w:rFonts w:ascii="Arial" w:cs="Arial" w:eastAsia="Arial" w:hAnsi="Arial"/>
          <w:b/>
          <w:bCs/>
          <w:sz w:val="22"/>
          <w:szCs w:val="22"/>
        </w:rPr>
        <w:t xml:space="preserve">Late Charge</w:t>
      </w:r>
    </w:p>
    <w:p>
      <w:pPr>
        <w:spacing w:after="160" w:before="0"/>
        <w:ind w:left="360"/>
      </w:pPr>
      <w:r>
        <w:rPr>
          <w:rFonts w:ascii="Arial" w:cs="Arial" w:eastAsia="Arial" w:hAnsi="Arial"/>
          <w:sz w:val="22"/>
          <w:szCs w:val="22"/>
        </w:rPr>
        <w:t xml:space="preserve">Any amount of Rent not received within five (5) business days after the due date shall incur a late charge of five percent (5%) of the overdue amount. Overdue amounts shall also bear interest at the lesser of: (a) Bank of America prime rate plus 2% per annum; or (b) the maximum rate permitted by law.</w:t>
      </w:r>
    </w:p>
    <w:p>
      <w:pPr>
        <w:pStyle w:val="Heading1"/>
        <w:pBdr>
          <w:bottom w:val="single" w:color="1B3A6B" w:sz="4" w:space="4"/>
        </w:pBdr>
        <w:spacing w:after="160" w:before="400"/>
      </w:pPr>
      <w:r>
        <w:rPr>
          <w:rFonts w:ascii="Arial" w:cs="Arial" w:eastAsia="Arial" w:hAnsi="Arial"/>
          <w:b/>
          <w:bCs/>
          <w:color w:val="1B3A6B"/>
          <w:sz w:val="26"/>
          <w:szCs w:val="26"/>
        </w:rPr>
        <w:t xml:space="preserve">6.  SECURITY DEPOSIT</w:t>
      </w:r>
    </w:p>
    <w:p>
      <w:pPr>
        <w:spacing w:after="80" w:before="200"/>
      </w:pPr>
      <w:r>
        <w:rPr>
          <w:rFonts w:ascii="Arial" w:cs="Arial" w:eastAsia="Arial" w:hAnsi="Arial"/>
          <w:b/>
          <w:bCs/>
          <w:sz w:val="22"/>
          <w:szCs w:val="22"/>
        </w:rPr>
        <w:t xml:space="preserve">6.1  </w:t>
      </w:r>
      <w:r>
        <w:rPr>
          <w:rFonts w:ascii="Arial" w:cs="Arial" w:eastAsia="Arial" w:hAnsi="Arial"/>
          <w:b/>
          <w:bCs/>
          <w:sz w:val="22"/>
          <w:szCs w:val="22"/>
        </w:rPr>
        <w:t xml:space="preserve">Amount</w:t>
      </w:r>
    </w:p>
    <w:p>
      <w:pPr>
        <w:spacing w:after="160" w:before="0"/>
        <w:ind w:left="360"/>
      </w:pPr>
      <w:r>
        <w:rPr>
          <w:rFonts w:ascii="Arial" w:cs="Arial" w:eastAsia="Arial" w:hAnsi="Arial"/>
          <w:sz w:val="22"/>
          <w:szCs w:val="22"/>
        </w:rPr>
        <w:t xml:space="preserve">Tenant shall deposit with Landlord upon execution of this Lease the sum of Fifty-Eight Thousand Dollars ($58,000) as a security deposit ("Security Deposit"), representing two (2) months' Base Rent.</w:t>
      </w:r>
    </w:p>
    <w:p>
      <w:pPr>
        <w:spacing w:after="80" w:before="200"/>
      </w:pPr>
      <w:r>
        <w:rPr>
          <w:rFonts w:ascii="Arial" w:cs="Arial" w:eastAsia="Arial" w:hAnsi="Arial"/>
          <w:b/>
          <w:bCs/>
          <w:sz w:val="22"/>
          <w:szCs w:val="22"/>
        </w:rPr>
        <w:t xml:space="preserve">6.2  </w:t>
      </w:r>
      <w:r>
        <w:rPr>
          <w:rFonts w:ascii="Arial" w:cs="Arial" w:eastAsia="Arial" w:hAnsi="Arial"/>
          <w:b/>
          <w:bCs/>
          <w:sz w:val="22"/>
          <w:szCs w:val="22"/>
        </w:rPr>
        <w:t xml:space="preserve">Application</w:t>
      </w:r>
    </w:p>
    <w:p>
      <w:pPr>
        <w:spacing w:after="160" w:before="0"/>
        <w:ind w:left="360"/>
      </w:pPr>
      <w:r>
        <w:rPr>
          <w:rFonts w:ascii="Arial" w:cs="Arial" w:eastAsia="Arial" w:hAnsi="Arial"/>
          <w:sz w:val="22"/>
          <w:szCs w:val="22"/>
        </w:rPr>
        <w:t xml:space="preserve">Landlord may apply all or part of the Security Deposit to cure any default by Tenant, including unpaid Rent, damage repair costs (beyond reasonable wear and tear), and cleaning costs. Tenant shall restore the Security Deposit to its original amount within thirty (30) days of Landlord's written demand.</w:t>
      </w:r>
    </w:p>
    <w:p>
      <w:pPr>
        <w:spacing w:after="80" w:before="200"/>
      </w:pPr>
      <w:r>
        <w:rPr>
          <w:rFonts w:ascii="Arial" w:cs="Arial" w:eastAsia="Arial" w:hAnsi="Arial"/>
          <w:b/>
          <w:bCs/>
          <w:sz w:val="22"/>
          <w:szCs w:val="22"/>
        </w:rPr>
        <w:t xml:space="preserve">6.3  </w:t>
      </w:r>
      <w:r>
        <w:rPr>
          <w:rFonts w:ascii="Arial" w:cs="Arial" w:eastAsia="Arial" w:hAnsi="Arial"/>
          <w:b/>
          <w:bCs/>
          <w:sz w:val="22"/>
          <w:szCs w:val="22"/>
        </w:rPr>
        <w:t xml:space="preserve">Return</w:t>
      </w:r>
    </w:p>
    <w:p>
      <w:pPr>
        <w:spacing w:after="160" w:before="0"/>
        <w:ind w:left="360"/>
      </w:pPr>
      <w:r>
        <w:rPr>
          <w:rFonts w:ascii="Arial" w:cs="Arial" w:eastAsia="Arial" w:hAnsi="Arial"/>
          <w:sz w:val="22"/>
          <w:szCs w:val="22"/>
        </w:rPr>
        <w:t xml:space="preserve">Provided Tenant has performed all obligations under this Lease, Landlord shall return the unused portion of the Security Deposit, without interest (unless required by California Civil Code Section 1950.7), to Tenant within sixty (60) days after the later of: (a) the Expiration Date or earlier termination; and (b) Tenant's surrender of the Premises in the condition required by Section 12.</w:t>
      </w:r>
    </w:p>
    <w:p>
      <w:pPr>
        <w:spacing w:after="80" w:before="200"/>
      </w:pPr>
      <w:r>
        <w:rPr>
          <w:rFonts w:ascii="Arial" w:cs="Arial" w:eastAsia="Arial" w:hAnsi="Arial"/>
          <w:b/>
          <w:bCs/>
          <w:sz w:val="22"/>
          <w:szCs w:val="22"/>
        </w:rPr>
        <w:t xml:space="preserve">6.4  </w:t>
      </w:r>
      <w:r>
        <w:rPr>
          <w:rFonts w:ascii="Arial" w:cs="Arial" w:eastAsia="Arial" w:hAnsi="Arial"/>
          <w:b/>
          <w:bCs/>
          <w:sz w:val="22"/>
          <w:szCs w:val="22"/>
        </w:rPr>
        <w:t xml:space="preserve">IFRS 16 Classification</w:t>
      </w:r>
    </w:p>
    <w:p>
      <w:pPr>
        <w:spacing w:after="160" w:before="0"/>
        <w:ind w:left="360"/>
      </w:pPr>
      <w:r>
        <w:rPr>
          <w:rFonts w:ascii="Arial" w:cs="Arial" w:eastAsia="Arial" w:hAnsi="Arial"/>
          <w:sz w:val="22"/>
          <w:szCs w:val="22"/>
        </w:rPr>
        <w:t xml:space="preserve">For purposes of IFRS 16 accounting, the refund conditions set forth in Section 6.3 shall govern Tenant's classification of the Security Deposit as a financial asset or prepaid expense. The Security Deposit is not included in the measurement of lease payments under Section 7.</w:t>
      </w:r>
    </w:p>
    <w:p>
      <w:pPr>
        <w:pStyle w:val="Heading1"/>
        <w:pBdr>
          <w:bottom w:val="single" w:color="1B3A6B" w:sz="4" w:space="4"/>
        </w:pBdr>
        <w:spacing w:after="160" w:before="400"/>
      </w:pPr>
      <w:r>
        <w:rPr>
          <w:rFonts w:ascii="Arial" w:cs="Arial" w:eastAsia="Arial" w:hAnsi="Arial"/>
          <w:b/>
          <w:bCs/>
          <w:color w:val="1B3A6B"/>
          <w:sz w:val="26"/>
          <w:szCs w:val="26"/>
        </w:rPr>
        <w:t xml:space="preserve">7.  FINANCIAL TERMS AND ACCOUNTING PROVISIONS (IFRS 16 / ASC 842)</w:t>
      </w:r>
    </w:p>
    <w:p>
      <w:pPr>
        <w:spacing w:after="80" w:before="200"/>
      </w:pPr>
      <w:r>
        <w:rPr>
          <w:rFonts w:ascii="Arial" w:cs="Arial" w:eastAsia="Arial" w:hAnsi="Arial"/>
          <w:b/>
          <w:bCs/>
          <w:sz w:val="22"/>
          <w:szCs w:val="22"/>
        </w:rPr>
        <w:t xml:space="preserve">7.1  </w:t>
      </w:r>
      <w:r>
        <w:rPr>
          <w:rFonts w:ascii="Arial" w:cs="Arial" w:eastAsia="Arial" w:hAnsi="Arial"/>
          <w:b/>
          <w:bCs/>
          <w:sz w:val="22"/>
          <w:szCs w:val="22"/>
        </w:rPr>
        <w:t xml:space="preserve">Right-of-Use Asset Recognition</w:t>
      </w:r>
    </w:p>
    <w:p>
      <w:pPr>
        <w:spacing w:after="160" w:before="0"/>
        <w:ind w:left="360"/>
      </w:pPr>
      <w:r>
        <w:rPr>
          <w:rFonts w:ascii="Arial" w:cs="Arial" w:eastAsia="Arial" w:hAnsi="Arial"/>
          <w:sz w:val="22"/>
          <w:szCs w:val="22"/>
        </w:rPr>
        <w:t xml:space="preserve">The parties acknowledge that this Lease constitutes a right-of-use arrangement under IFRS 16 (International Financial Reporting Standard 16 — Leases) and ASC 842 (Accounting Standards Codification Topic 842). Tenant shall recognise a right-of-use (ROU) asset and corresponding lease liability on its consolidated balance sheet as of the Commencement Date, calculated as the present value of all remaining lease payments over the Lease Term.</w:t>
      </w:r>
    </w:p>
    <w:p>
      <w:pPr>
        <w:spacing w:after="80" w:before="200"/>
      </w:pPr>
      <w:r>
        <w:rPr>
          <w:rFonts w:ascii="Arial" w:cs="Arial" w:eastAsia="Arial" w:hAnsi="Arial"/>
          <w:b/>
          <w:bCs/>
          <w:sz w:val="22"/>
          <w:szCs w:val="22"/>
        </w:rPr>
        <w:t xml:space="preserve">7.2  </w:t>
      </w:r>
      <w:r>
        <w:rPr>
          <w:rFonts w:ascii="Arial" w:cs="Arial" w:eastAsia="Arial" w:hAnsi="Arial"/>
          <w:b/>
          <w:bCs/>
          <w:sz w:val="22"/>
          <w:szCs w:val="22"/>
        </w:rPr>
        <w:t xml:space="preserve">Discount Rate</w:t>
      </w:r>
    </w:p>
    <w:p>
      <w:pPr>
        <w:spacing w:after="160" w:before="0"/>
        <w:ind w:left="360"/>
      </w:pPr>
      <w:r>
        <w:rPr>
          <w:rFonts w:ascii="Arial" w:cs="Arial" w:eastAsia="Arial" w:hAnsi="Arial"/>
          <w:sz w:val="22"/>
          <w:szCs w:val="22"/>
        </w:rPr>
        <w:t xml:space="preserve">This Lease does not specify a contractual interest rate. Tenant bears sole responsibility for determining the appropriate discount rate for measuring the lease liability. Tenant shall apply its incremental borrowing rate (IBR) as defined under IFRS 16.26 and ASC 842-20-30-3, determined in consultation with Tenant's finance team and external auditors prior to initial recognition. Landlord shall provide reasonable information requested by Tenant's auditors to support the IBR determination, but makes no representation as to the applicable rate.</w:t>
      </w:r>
    </w:p>
    <w:p>
      <w:pPr>
        <w:spacing w:after="80" w:before="200"/>
      </w:pPr>
      <w:r>
        <w:rPr>
          <w:rFonts w:ascii="Arial" w:cs="Arial" w:eastAsia="Arial" w:hAnsi="Arial"/>
          <w:b/>
          <w:bCs/>
          <w:sz w:val="22"/>
          <w:szCs w:val="22"/>
        </w:rPr>
        <w:t xml:space="preserve">7.3  </w:t>
      </w:r>
      <w:r>
        <w:rPr>
          <w:rFonts w:ascii="Arial" w:cs="Arial" w:eastAsia="Arial" w:hAnsi="Arial"/>
          <w:b/>
          <w:bCs/>
          <w:sz w:val="22"/>
          <w:szCs w:val="22"/>
        </w:rPr>
        <w:t xml:space="preserve">Lease Classification</w:t>
      </w:r>
    </w:p>
    <w:p>
      <w:pPr>
        <w:spacing w:after="160" w:before="0"/>
        <w:ind w:left="360"/>
      </w:pPr>
      <w:r>
        <w:rPr>
          <w:rFonts w:ascii="Arial" w:cs="Arial" w:eastAsia="Arial" w:hAnsi="Arial"/>
          <w:sz w:val="22"/>
          <w:szCs w:val="22"/>
        </w:rPr>
        <w:t xml:space="preserve">This Lease is classified as an operating lease for accounting purposes under both IFRS 16 and ASC 842. For the purpose of computing the IFRS 16 lease liability, the following payments shall be included: (a) fixed Base Rent payments as set forth in Section 5.2; (b) fixed escalations set forth in Section 5.3; and (c) any Renewal Option payments only if assessed by Tenant as "reasonably certain" to be exercised pursuant to IFRS 16.19. Variable operating expense charges under Section 5.4 are excluded.</w:t>
      </w:r>
    </w:p>
    <w:p>
      <w:pPr>
        <w:spacing w:after="80" w:before="200"/>
      </w:pPr>
      <w:r>
        <w:rPr>
          <w:rFonts w:ascii="Arial" w:cs="Arial" w:eastAsia="Arial" w:hAnsi="Arial"/>
          <w:b/>
          <w:bCs/>
          <w:sz w:val="22"/>
          <w:szCs w:val="22"/>
        </w:rPr>
        <w:t xml:space="preserve">7.4  </w:t>
      </w:r>
      <w:r>
        <w:rPr>
          <w:rFonts w:ascii="Arial" w:cs="Arial" w:eastAsia="Arial" w:hAnsi="Arial"/>
          <w:b/>
          <w:bCs/>
          <w:sz w:val="22"/>
          <w:szCs w:val="22"/>
        </w:rPr>
        <w:t xml:space="preserve">Landlord Cooperation</w:t>
      </w:r>
    </w:p>
    <w:p>
      <w:pPr>
        <w:spacing w:after="160" w:before="0"/>
        <w:ind w:left="360"/>
      </w:pPr>
      <w:r>
        <w:rPr>
          <w:rFonts w:ascii="Arial" w:cs="Arial" w:eastAsia="Arial" w:hAnsi="Arial"/>
          <w:sz w:val="22"/>
          <w:szCs w:val="22"/>
        </w:rPr>
        <w:t xml:space="preserve">Landlord agrees to provide, upon written request within ten (10) business days, any documentation reasonably required for Tenant to prepare IFRS 16 / ASC 842 disclosures, including confirmation of commencement dates, scheduled rents, and incentive amounts.</w:t>
      </w:r>
    </w:p>
    <w:p>
      <w:pPr>
        <w:pStyle w:val="Heading1"/>
        <w:pBdr>
          <w:bottom w:val="single" w:color="1B3A6B" w:sz="4" w:space="4"/>
        </w:pBdr>
        <w:spacing w:after="160" w:before="400"/>
      </w:pPr>
      <w:r>
        <w:rPr>
          <w:rFonts w:ascii="Arial" w:cs="Arial" w:eastAsia="Arial" w:hAnsi="Arial"/>
          <w:b/>
          <w:bCs/>
          <w:color w:val="1B3A6B"/>
          <w:sz w:val="26"/>
          <w:szCs w:val="26"/>
        </w:rPr>
        <w:t xml:space="preserve">8.  BUILDING SERVICES</w:t>
      </w:r>
    </w:p>
    <w:p>
      <w:pPr>
        <w:spacing w:after="80" w:before="200"/>
      </w:pPr>
      <w:r>
        <w:rPr>
          <w:rFonts w:ascii="Arial" w:cs="Arial" w:eastAsia="Arial" w:hAnsi="Arial"/>
          <w:b/>
          <w:bCs/>
          <w:sz w:val="22"/>
          <w:szCs w:val="22"/>
        </w:rPr>
        <w:t xml:space="preserve">8.1  </w:t>
      </w:r>
      <w:r>
        <w:rPr>
          <w:rFonts w:ascii="Arial" w:cs="Arial" w:eastAsia="Arial" w:hAnsi="Arial"/>
          <w:b/>
          <w:bCs/>
          <w:sz w:val="22"/>
          <w:szCs w:val="22"/>
        </w:rPr>
        <w:t xml:space="preserve">Standard Services</w:t>
      </w:r>
    </w:p>
    <w:p>
      <w:pPr>
        <w:spacing w:after="160" w:before="0"/>
        <w:ind w:left="360"/>
      </w:pPr>
      <w:r>
        <w:rPr>
          <w:rFonts w:ascii="Arial" w:cs="Arial" w:eastAsia="Arial" w:hAnsi="Arial"/>
          <w:sz w:val="22"/>
          <w:szCs w:val="22"/>
        </w:rPr>
        <w:t xml:space="preserve">Landlord shall provide HVAC (Mon–Fri, 7:00 AM – 7:00 PM), elevator service, five-days-per-week janitorial, electricity for standard office use, and 24/7 building security access at no additional charge.</w:t>
      </w:r>
    </w:p>
    <w:p>
      <w:pPr>
        <w:spacing w:after="80" w:before="200"/>
      </w:pPr>
      <w:r>
        <w:rPr>
          <w:rFonts w:ascii="Arial" w:cs="Arial" w:eastAsia="Arial" w:hAnsi="Arial"/>
          <w:b/>
          <w:bCs/>
          <w:sz w:val="22"/>
          <w:szCs w:val="22"/>
        </w:rPr>
        <w:t xml:space="preserve">8.2  </w:t>
      </w:r>
      <w:r>
        <w:rPr>
          <w:rFonts w:ascii="Arial" w:cs="Arial" w:eastAsia="Arial" w:hAnsi="Arial"/>
          <w:b/>
          <w:bCs/>
          <w:sz w:val="22"/>
          <w:szCs w:val="22"/>
        </w:rPr>
        <w:t xml:space="preserve">After-Hours HVAC</w:t>
      </w:r>
    </w:p>
    <w:p>
      <w:pPr>
        <w:spacing w:after="160" w:before="0"/>
        <w:ind w:left="360"/>
      </w:pPr>
      <w:r>
        <w:rPr>
          <w:rFonts w:ascii="Arial" w:cs="Arial" w:eastAsia="Arial" w:hAnsi="Arial"/>
          <w:sz w:val="22"/>
          <w:szCs w:val="22"/>
        </w:rPr>
        <w:t xml:space="preserve">After-hours HVAC is available at $60 per hour per floor, payable as Additional Rent within thirty (30) days of invoice.</w:t>
      </w:r>
    </w:p>
    <w:p>
      <w:pPr>
        <w:pStyle w:val="Heading1"/>
        <w:pBdr>
          <w:bottom w:val="single" w:color="1B3A6B" w:sz="4" w:space="4"/>
        </w:pBdr>
        <w:spacing w:after="160" w:before="400"/>
      </w:pPr>
      <w:r>
        <w:rPr>
          <w:rFonts w:ascii="Arial" w:cs="Arial" w:eastAsia="Arial" w:hAnsi="Arial"/>
          <w:b/>
          <w:bCs/>
          <w:color w:val="1B3A6B"/>
          <w:sz w:val="26"/>
          <w:szCs w:val="26"/>
        </w:rPr>
        <w:t xml:space="preserve">9.  TERMINATION RIGHTS</w:t>
      </w:r>
    </w:p>
    <w:p>
      <w:pPr>
        <w:spacing w:after="80" w:before="200"/>
      </w:pPr>
      <w:r>
        <w:rPr>
          <w:rFonts w:ascii="Arial" w:cs="Arial" w:eastAsia="Arial" w:hAnsi="Arial"/>
          <w:b/>
          <w:bCs/>
          <w:sz w:val="22"/>
          <w:szCs w:val="22"/>
        </w:rPr>
        <w:t xml:space="preserve">9.1  </w:t>
      </w:r>
      <w:r>
        <w:rPr>
          <w:rFonts w:ascii="Arial" w:cs="Arial" w:eastAsia="Arial" w:hAnsi="Arial"/>
          <w:b/>
          <w:bCs/>
          <w:sz w:val="22"/>
          <w:szCs w:val="22"/>
        </w:rPr>
        <w:t xml:space="preserve">Landlord Termination Right</w:t>
      </w:r>
    </w:p>
    <w:p>
      <w:pPr>
        <w:spacing w:after="160" w:before="0"/>
        <w:ind w:left="360"/>
      </w:pPr>
      <w:r>
        <w:rPr>
          <w:rFonts w:ascii="Arial" w:cs="Arial" w:eastAsia="Arial" w:hAnsi="Arial"/>
          <w:sz w:val="22"/>
          <w:szCs w:val="22"/>
        </w:rPr>
        <w:t xml:space="preserve">Landlord shall have the right to terminate this Lease upon twelve (12) months' prior written notice to Tenant if Landlord elects to: (a) demolish or substantially redevelop the Building; (b) convert the Building to condominium or non-commercial use; or (c) sell the Building to a buyer requiring the Premises for owner-occupancy. In any such event, Landlord shall pay Tenant a termination fee equal to six (6) months' then-current Base Rent within thirty (30) days of the effective termination date.</w:t>
      </w:r>
    </w:p>
    <w:p>
      <w:pPr>
        <w:spacing w:after="80" w:before="200"/>
      </w:pPr>
      <w:r>
        <w:rPr>
          <w:rFonts w:ascii="Arial" w:cs="Arial" w:eastAsia="Arial" w:hAnsi="Arial"/>
          <w:b/>
          <w:bCs/>
          <w:sz w:val="22"/>
          <w:szCs w:val="22"/>
        </w:rPr>
        <w:t xml:space="preserve">9.2  </w:t>
      </w:r>
      <w:r>
        <w:rPr>
          <w:rFonts w:ascii="Arial" w:cs="Arial" w:eastAsia="Arial" w:hAnsi="Arial"/>
          <w:b/>
          <w:bCs/>
          <w:sz w:val="22"/>
          <w:szCs w:val="22"/>
        </w:rPr>
        <w:t xml:space="preserve">No Tenant Termination Right</w:t>
      </w:r>
    </w:p>
    <w:p>
      <w:pPr>
        <w:spacing w:after="160" w:before="0"/>
        <w:ind w:left="360"/>
      </w:pPr>
      <w:r>
        <w:rPr>
          <w:rFonts w:ascii="Arial" w:cs="Arial" w:eastAsia="Arial" w:hAnsi="Arial"/>
          <w:sz w:val="22"/>
          <w:szCs w:val="22"/>
        </w:rPr>
        <w:t xml:space="preserve">Tenant has no right to terminate this Lease before the Expiration Date without Landlord's prior written consent. Any early termination with Landlord's consent shall be conditioned upon Tenant's payment of a separately negotiated termination fee. Holdover beyond the Expiration Date without Landlord's consent shall convert this Lease to a month-to-month tenancy at 150% of the last monthly Base Rent instalment.</w:t>
      </w:r>
    </w:p>
    <w:p>
      <w:pPr>
        <w:pStyle w:val="Heading1"/>
        <w:pBdr>
          <w:bottom w:val="single" w:color="1B3A6B" w:sz="4" w:space="4"/>
        </w:pBdr>
        <w:spacing w:after="160" w:before="400"/>
      </w:pPr>
      <w:r>
        <w:rPr>
          <w:rFonts w:ascii="Arial" w:cs="Arial" w:eastAsia="Arial" w:hAnsi="Arial"/>
          <w:b/>
          <w:bCs/>
          <w:color w:val="1B3A6B"/>
          <w:sz w:val="26"/>
          <w:szCs w:val="26"/>
        </w:rPr>
        <w:t xml:space="preserve">10.  ALTERATIONS</w:t>
      </w:r>
    </w:p>
    <w:p>
      <w:pPr>
        <w:spacing w:after="80" w:before="200"/>
      </w:pPr>
      <w:r>
        <w:rPr>
          <w:rFonts w:ascii="Arial" w:cs="Arial" w:eastAsia="Arial" w:hAnsi="Arial"/>
          <w:b/>
          <w:bCs/>
          <w:sz w:val="22"/>
          <w:szCs w:val="22"/>
        </w:rPr>
        <w:t xml:space="preserve">10.1  </w:t>
      </w:r>
      <w:r>
        <w:rPr>
          <w:rFonts w:ascii="Arial" w:cs="Arial" w:eastAsia="Arial" w:hAnsi="Arial"/>
          <w:b/>
          <w:bCs/>
          <w:sz w:val="22"/>
          <w:szCs w:val="22"/>
        </w:rPr>
        <w:t xml:space="preserve">Consent Required</w:t>
      </w:r>
    </w:p>
    <w:p>
      <w:pPr>
        <w:spacing w:after="160" w:before="0"/>
        <w:ind w:left="360"/>
      </w:pPr>
      <w:r>
        <w:rPr>
          <w:rFonts w:ascii="Arial" w:cs="Arial" w:eastAsia="Arial" w:hAnsi="Arial"/>
          <w:sz w:val="22"/>
          <w:szCs w:val="22"/>
        </w:rPr>
        <w:t xml:space="preserve">Tenant shall not make structural alterations without Landlord's prior written consent (not to be unreasonably withheld). Non-structural alterations under $50,000 in aggregate may proceed without consent upon prior written notice, performed by licensed contractors in compliance with all codes.</w:t>
      </w:r>
    </w:p>
    <w:p>
      <w:pPr>
        <w:pStyle w:val="Heading1"/>
        <w:pBdr>
          <w:bottom w:val="single" w:color="1B3A6B" w:sz="4" w:space="4"/>
        </w:pBdr>
        <w:spacing w:after="160" w:before="400"/>
      </w:pPr>
      <w:r>
        <w:rPr>
          <w:rFonts w:ascii="Arial" w:cs="Arial" w:eastAsia="Arial" w:hAnsi="Arial"/>
          <w:b/>
          <w:bCs/>
          <w:color w:val="1B3A6B"/>
          <w:sz w:val="26"/>
          <w:szCs w:val="26"/>
        </w:rPr>
        <w:t xml:space="preserve">11.  ASSIGNMENT AND SUBLETTING</w:t>
      </w:r>
    </w:p>
    <w:p>
      <w:pPr>
        <w:spacing w:after="80" w:before="200"/>
      </w:pPr>
      <w:r>
        <w:rPr>
          <w:rFonts w:ascii="Arial" w:cs="Arial" w:eastAsia="Arial" w:hAnsi="Arial"/>
          <w:b/>
          <w:bCs/>
          <w:sz w:val="22"/>
          <w:szCs w:val="22"/>
        </w:rPr>
        <w:t xml:space="preserve">11.1  </w:t>
      </w:r>
      <w:r>
        <w:rPr>
          <w:rFonts w:ascii="Arial" w:cs="Arial" w:eastAsia="Arial" w:hAnsi="Arial"/>
          <w:b/>
          <w:bCs/>
          <w:sz w:val="22"/>
          <w:szCs w:val="22"/>
        </w:rPr>
        <w:t xml:space="preserve">Consent Required</w:t>
      </w:r>
    </w:p>
    <w:p>
      <w:pPr>
        <w:spacing w:after="160" w:before="0"/>
        <w:ind w:left="360"/>
      </w:pPr>
      <w:r>
        <w:rPr>
          <w:rFonts w:ascii="Arial" w:cs="Arial" w:eastAsia="Arial" w:hAnsi="Arial"/>
          <w:sz w:val="22"/>
          <w:szCs w:val="22"/>
        </w:rPr>
        <w:t xml:space="preserve">Tenant shall not assign or sublet without Landlord's prior written consent (not to be unreasonably withheld). Any assignment or subletting without consent is void. Tenant may assign without consent to an Affiliate or in connection with a merger or acquisition of all or substantially all of Tenant's assets.</w:t>
      </w:r>
    </w:p>
    <w:p>
      <w:pPr>
        <w:pStyle w:val="Heading1"/>
        <w:pBdr>
          <w:bottom w:val="single" w:color="1B3A6B" w:sz="4" w:space="4"/>
        </w:pBdr>
        <w:spacing w:after="160" w:before="400"/>
      </w:pPr>
      <w:r>
        <w:rPr>
          <w:rFonts w:ascii="Arial" w:cs="Arial" w:eastAsia="Arial" w:hAnsi="Arial"/>
          <w:b/>
          <w:bCs/>
          <w:color w:val="1B3A6B"/>
          <w:sz w:val="26"/>
          <w:szCs w:val="26"/>
        </w:rPr>
        <w:t xml:space="preserve">12.  SURRENDER</w:t>
      </w:r>
    </w:p>
    <w:p>
      <w:pPr>
        <w:spacing w:after="80" w:before="200"/>
      </w:pPr>
      <w:r>
        <w:rPr>
          <w:rFonts w:ascii="Arial" w:cs="Arial" w:eastAsia="Arial" w:hAnsi="Arial"/>
          <w:b/>
          <w:bCs/>
          <w:sz w:val="22"/>
          <w:szCs w:val="22"/>
        </w:rPr>
        <w:t xml:space="preserve">12.1  </w:t>
      </w:r>
      <w:r>
        <w:rPr>
          <w:rFonts w:ascii="Arial" w:cs="Arial" w:eastAsia="Arial" w:hAnsi="Arial"/>
          <w:b/>
          <w:bCs/>
          <w:sz w:val="22"/>
          <w:szCs w:val="22"/>
        </w:rPr>
        <w:t xml:space="preserve">Condition at Expiration</w:t>
      </w:r>
    </w:p>
    <w:p>
      <w:pPr>
        <w:spacing w:after="160" w:before="0"/>
        <w:ind w:left="360"/>
      </w:pPr>
      <w:r>
        <w:rPr>
          <w:rFonts w:ascii="Arial" w:cs="Arial" w:eastAsia="Arial" w:hAnsi="Arial"/>
          <w:sz w:val="22"/>
          <w:szCs w:val="22"/>
        </w:rPr>
        <w:t xml:space="preserve">Upon expiration or termination, Tenant shall surrender the Premises in good order and condition, reasonable wear and tear excepted. Tenant shall remove all personal property and Landlord-designated alterations and shall repair damage caused by such removal.</w:t>
      </w:r>
    </w:p>
    <w:p>
      <w:pPr>
        <w:pStyle w:val="Heading1"/>
        <w:pBdr>
          <w:bottom w:val="single" w:color="1B3A6B" w:sz="4" w:space="4"/>
        </w:pBdr>
        <w:spacing w:after="160" w:before="400"/>
      </w:pPr>
      <w:r>
        <w:rPr>
          <w:rFonts w:ascii="Arial" w:cs="Arial" w:eastAsia="Arial" w:hAnsi="Arial"/>
          <w:b/>
          <w:bCs/>
          <w:color w:val="1B3A6B"/>
          <w:sz w:val="26"/>
          <w:szCs w:val="26"/>
        </w:rPr>
        <w:t xml:space="preserve">13.  INSURANCE</w:t>
      </w:r>
    </w:p>
    <w:p>
      <w:pPr>
        <w:spacing w:after="80" w:before="200"/>
      </w:pPr>
      <w:r>
        <w:rPr>
          <w:rFonts w:ascii="Arial" w:cs="Arial" w:eastAsia="Arial" w:hAnsi="Arial"/>
          <w:b/>
          <w:bCs/>
          <w:sz w:val="22"/>
          <w:szCs w:val="22"/>
        </w:rPr>
        <w:t xml:space="preserve">13.1  </w:t>
      </w:r>
      <w:r>
        <w:rPr>
          <w:rFonts w:ascii="Arial" w:cs="Arial" w:eastAsia="Arial" w:hAnsi="Arial"/>
          <w:b/>
          <w:bCs/>
          <w:sz w:val="22"/>
          <w:szCs w:val="22"/>
        </w:rPr>
        <w:t xml:space="preserve">Tenant Insurance</w:t>
      </w:r>
    </w:p>
    <w:p>
      <w:pPr>
        <w:spacing w:after="160" w:before="0"/>
        <w:ind w:left="360"/>
      </w:pPr>
      <w:r>
        <w:rPr>
          <w:rFonts w:ascii="Arial" w:cs="Arial" w:eastAsia="Arial" w:hAnsi="Arial"/>
          <w:sz w:val="22"/>
          <w:szCs w:val="22"/>
        </w:rPr>
        <w:t xml:space="preserve">Tenant shall maintain throughout the Lease Term: (a) commercial general liability insurance — $5,000,000 per occurrence, $10,000,000 aggregate; (b) property insurance on Tenant's personal property; and (c) workers' compensation as required by California law. All policies shall name Landlord as additional insured with thirty (30) days' notice of cancellation.</w:t>
      </w:r>
    </w:p>
    <w:p>
      <w:pPr>
        <w:pStyle w:val="Heading1"/>
        <w:pBdr>
          <w:bottom w:val="single" w:color="1B3A6B" w:sz="4" w:space="4"/>
        </w:pBdr>
        <w:spacing w:after="160" w:before="400"/>
      </w:pPr>
      <w:r>
        <w:rPr>
          <w:rFonts w:ascii="Arial" w:cs="Arial" w:eastAsia="Arial" w:hAnsi="Arial"/>
          <w:b/>
          <w:bCs/>
          <w:color w:val="1B3A6B"/>
          <w:sz w:val="26"/>
          <w:szCs w:val="26"/>
        </w:rPr>
        <w:t xml:space="preserve">14.  GOVERNING LAW AND DISPUTE RESOLUTION</w:t>
      </w:r>
    </w:p>
    <w:p>
      <w:pPr>
        <w:spacing w:after="80" w:before="200"/>
      </w:pPr>
      <w:r>
        <w:rPr>
          <w:rFonts w:ascii="Arial" w:cs="Arial" w:eastAsia="Arial" w:hAnsi="Arial"/>
          <w:b/>
          <w:bCs/>
          <w:sz w:val="22"/>
          <w:szCs w:val="22"/>
        </w:rPr>
        <w:t xml:space="preserve">14.1  </w:t>
      </w:r>
      <w:r>
        <w:rPr>
          <w:rFonts w:ascii="Arial" w:cs="Arial" w:eastAsia="Arial" w:hAnsi="Arial"/>
          <w:b/>
          <w:bCs/>
          <w:sz w:val="22"/>
          <w:szCs w:val="22"/>
        </w:rPr>
        <w:t xml:space="preserve">Governing Law</w:t>
      </w:r>
    </w:p>
    <w:p>
      <w:pPr>
        <w:spacing w:after="160" w:before="0"/>
        <w:ind w:left="360"/>
      </w:pPr>
      <w:r>
        <w:rPr>
          <w:rFonts w:ascii="Arial" w:cs="Arial" w:eastAsia="Arial" w:hAnsi="Arial"/>
          <w:sz w:val="22"/>
          <w:szCs w:val="22"/>
        </w:rPr>
        <w:t xml:space="preserve">This Lease shall be governed by the laws of the State of California without regard to conflicts-of-law principles. All disputes shall be subject to the exclusive jurisdiction of the state and federal courts in San Francisco County, California.</w:t>
      </w:r>
    </w:p>
    <w:p>
      <w:pPr>
        <w:spacing w:after="80" w:before="200"/>
      </w:pPr>
      <w:r>
        <w:rPr>
          <w:rFonts w:ascii="Arial" w:cs="Arial" w:eastAsia="Arial" w:hAnsi="Arial"/>
          <w:b/>
          <w:bCs/>
          <w:sz w:val="22"/>
          <w:szCs w:val="22"/>
        </w:rPr>
        <w:t xml:space="preserve">14.2  </w:t>
      </w:r>
      <w:r>
        <w:rPr>
          <w:rFonts w:ascii="Arial" w:cs="Arial" w:eastAsia="Arial" w:hAnsi="Arial"/>
          <w:b/>
          <w:bCs/>
          <w:sz w:val="22"/>
          <w:szCs w:val="22"/>
        </w:rPr>
        <w:t xml:space="preserve">Dispute Resolution</w:t>
      </w:r>
    </w:p>
    <w:p>
      <w:pPr>
        <w:spacing w:after="160" w:before="0"/>
        <w:ind w:left="360"/>
      </w:pPr>
      <w:r>
        <w:rPr>
          <w:rFonts w:ascii="Arial" w:cs="Arial" w:eastAsia="Arial" w:hAnsi="Arial"/>
          <w:sz w:val="22"/>
          <w:szCs w:val="22"/>
        </w:rPr>
        <w:t xml:space="preserve">Prior to litigation, the parties shall attempt in good faith to resolve any dispute through mediation administered by JAMS or a mutually agreed mediator. The prevailing party in any action shall be entitled to recover reasonable attorneys' fees and costs.</w:t>
      </w:r>
    </w:p>
    <w:p>
      <w:pPr>
        <w:pStyle w:val="Heading1"/>
        <w:pBdr>
          <w:bottom w:val="single" w:color="1B3A6B" w:sz="4" w:space="4"/>
        </w:pBdr>
        <w:spacing w:after="160" w:before="400"/>
      </w:pPr>
      <w:r>
        <w:rPr>
          <w:rFonts w:ascii="Arial" w:cs="Arial" w:eastAsia="Arial" w:hAnsi="Arial"/>
          <w:b/>
          <w:bCs/>
          <w:color w:val="1B3A6B"/>
          <w:sz w:val="26"/>
          <w:szCs w:val="26"/>
        </w:rPr>
        <w:t xml:space="preserve">15.  GENERAL PROVISIONS</w:t>
      </w:r>
    </w:p>
    <w:p>
      <w:pPr>
        <w:spacing w:after="80" w:before="200"/>
      </w:pPr>
      <w:r>
        <w:rPr>
          <w:rFonts w:ascii="Arial" w:cs="Arial" w:eastAsia="Arial" w:hAnsi="Arial"/>
          <w:b/>
          <w:bCs/>
          <w:sz w:val="22"/>
          <w:szCs w:val="22"/>
        </w:rPr>
        <w:t xml:space="preserve">15.1  </w:t>
      </w:r>
      <w:r>
        <w:rPr>
          <w:rFonts w:ascii="Arial" w:cs="Arial" w:eastAsia="Arial" w:hAnsi="Arial"/>
          <w:b/>
          <w:bCs/>
          <w:sz w:val="22"/>
          <w:szCs w:val="22"/>
        </w:rPr>
        <w:t xml:space="preserve">Entire Agreement</w:t>
      </w:r>
    </w:p>
    <w:p>
      <w:pPr>
        <w:spacing w:after="160" w:before="0"/>
        <w:ind w:left="360"/>
      </w:pPr>
      <w:r>
        <w:rPr>
          <w:rFonts w:ascii="Arial" w:cs="Arial" w:eastAsia="Arial" w:hAnsi="Arial"/>
          <w:sz w:val="22"/>
          <w:szCs w:val="22"/>
        </w:rPr>
        <w:t xml:space="preserve">This Lease, including all Exhibits, constitutes the entire agreement between the parties and supersedes all prior negotiations and representations. This Lease may be modified only by written instrument signed by both parties.</w:t>
      </w:r>
    </w:p>
    <w:p>
      <w:pPr>
        <w:spacing w:after="80" w:before="200"/>
      </w:pPr>
      <w:r>
        <w:rPr>
          <w:rFonts w:ascii="Arial" w:cs="Arial" w:eastAsia="Arial" w:hAnsi="Arial"/>
          <w:b/>
          <w:bCs/>
          <w:sz w:val="22"/>
          <w:szCs w:val="22"/>
        </w:rPr>
        <w:t xml:space="preserve">15.2  </w:t>
      </w:r>
      <w:r>
        <w:rPr>
          <w:rFonts w:ascii="Arial" w:cs="Arial" w:eastAsia="Arial" w:hAnsi="Arial"/>
          <w:b/>
          <w:bCs/>
          <w:sz w:val="22"/>
          <w:szCs w:val="22"/>
        </w:rPr>
        <w:t xml:space="preserve">Notices</w:t>
      </w:r>
    </w:p>
    <w:p>
      <w:pPr>
        <w:spacing w:after="160" w:before="0"/>
        <w:ind w:left="360"/>
      </w:pPr>
      <w:r>
        <w:rPr>
          <w:rFonts w:ascii="Arial" w:cs="Arial" w:eastAsia="Arial" w:hAnsi="Arial"/>
          <w:sz w:val="22"/>
          <w:szCs w:val="22"/>
        </w:rPr>
        <w:t xml:space="preserve">All notices shall be in writing and delivered by personal delivery, overnight courier, or certified mail (return receipt requested). Notices to Landlord: Pacific Gateway Properties, LLC, 300 Montgomery Street, Suite 800, San Francisco, CA 94104. Notices to Tenant: at the Premises. Notices are effective upon receipt.</w:t>
      </w:r>
    </w:p>
    <w:p>
      <w:pPr>
        <w:spacing w:after="80" w:before="200"/>
      </w:pPr>
      <w:r>
        <w:rPr>
          <w:rFonts w:ascii="Arial" w:cs="Arial" w:eastAsia="Arial" w:hAnsi="Arial"/>
          <w:b/>
          <w:bCs/>
          <w:sz w:val="22"/>
          <w:szCs w:val="22"/>
        </w:rPr>
        <w:t xml:space="preserve">15.3  </w:t>
      </w:r>
      <w:r>
        <w:rPr>
          <w:rFonts w:ascii="Arial" w:cs="Arial" w:eastAsia="Arial" w:hAnsi="Arial"/>
          <w:b/>
          <w:bCs/>
          <w:sz w:val="22"/>
          <w:szCs w:val="22"/>
        </w:rPr>
        <w:t xml:space="preserve">Counterparts &amp; Electronic Signatures</w:t>
      </w:r>
    </w:p>
    <w:p>
      <w:pPr>
        <w:spacing w:after="160" w:before="0"/>
        <w:ind w:left="360"/>
      </w:pPr>
      <w:r>
        <w:rPr>
          <w:rFonts w:ascii="Arial" w:cs="Arial" w:eastAsia="Arial" w:hAnsi="Arial"/>
          <w:sz w:val="22"/>
          <w:szCs w:val="22"/>
        </w:rPr>
        <w:t xml:space="preserve">This Lease may be executed in counterparts, each constituting an original, together forming one instrument. Electronic signatures via PDF, DocuSign, or equivalent service are valid and binding.</w:t>
      </w:r>
    </w:p>
    <w:p>
      <w:pPr>
        <w:pageBreakBefore/>
        <w:spacing w:after="0" w:before="0"/>
      </w:pPr>
    </w:p>
    <w:p>
      <w:pPr>
        <w:spacing w:after="480" w:before="0"/>
      </w:pPr>
      <w:r>
        <w:rPr>
          <w:rFonts w:ascii="Arial" w:cs="Arial" w:eastAsia="Arial" w:hAnsi="Arial"/>
          <w:b/>
          <w:bCs/>
          <w:sz w:val="22"/>
          <w:szCs w:val="22"/>
        </w:rPr>
        <w:t xml:space="preserve">IN WITNESS WHEREOF</w:t>
      </w:r>
      <w:r>
        <w:rPr>
          <w:rFonts w:ascii="Arial" w:cs="Arial" w:eastAsia="Arial" w:hAnsi="Arial"/>
          <w:sz w:val="22"/>
          <w:szCs w:val="22"/>
        </w:rPr>
        <w:t xml:space="preserve">, the parties have executed this Commercial Office Lease Agreement as of the Execution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FFFFFF" w:sz="1"/>
              <w:left w:val="single" w:color="FFFFFF" w:sz="1"/>
              <w:bottom w:val="single" w:color="FFFFFF" w:sz="1"/>
              <w:right w:val="single" w:color="FFFFFF" w:sz="1"/>
            </w:tcBorders>
            <w:tcMar>
              <w:top w:type="dxa" w:w="0"/>
              <w:left w:type="dxa" w:w="0"/>
              <w:bottom w:type="dxa" w:w="0"/>
              <w:right w:type="dxa" w:w="200"/>
            </w:tcMar>
          </w:tcPr>
          <w:p>
            <w:pPr>
              <w:spacing w:after="80" w:before="0"/>
            </w:pPr>
            <w:r>
              <w:rPr>
                <w:rFonts w:ascii="Arial" w:cs="Arial" w:eastAsia="Arial" w:hAnsi="Arial"/>
                <w:b/>
                <w:bCs/>
                <w:color w:val="1B3A6B"/>
                <w:sz w:val="20"/>
                <w:szCs w:val="20"/>
              </w:rPr>
              <w:t xml:space="preserve">LANDLORD</w:t>
            </w:r>
          </w:p>
          <w:p>
            <w:pPr>
              <w:spacing w:after="240" w:before="0"/>
            </w:pPr>
            <w:r>
              <w:rPr>
                <w:rFonts w:ascii="Arial" w:cs="Arial" w:eastAsia="Arial" w:hAnsi="Arial"/>
                <w:sz w:val="20"/>
                <w:szCs w:val="20"/>
              </w:rPr>
              <w:t xml:space="preserve">Pacific Gateway Properties, LLC</w:t>
            </w:r>
          </w:p>
          <w:p>
            <w:pPr>
              <w:spacing w:after="120" w:before="0"/>
            </w:pPr>
            <w:r>
              <w:rPr>
                <w:rFonts w:ascii="Arial" w:cs="Arial" w:eastAsia="Arial" w:hAnsi="Arial"/>
                <w:b/>
                <w:bCs/>
                <w:sz w:val="20"/>
                <w:szCs w:val="20"/>
              </w:rPr>
              <w:t xml:space="preserve">Signature:  </w:t>
            </w:r>
            <w:r>
              <w:rPr>
                <w:rFonts w:ascii="Arial" w:cs="Arial" w:eastAsia="Arial" w:hAnsi="Arial"/>
                <w:color w:val="6B7E8D"/>
                <w:sz w:val="20"/>
                <w:szCs w:val="20"/>
              </w:rPr>
              <w:t xml:space="preserve">_______________________________</w:t>
            </w:r>
          </w:p>
          <w:p>
            <w:pPr>
              <w:spacing w:after="100" w:before="0"/>
            </w:pPr>
            <w:r>
              <w:rPr>
                <w:rFonts w:ascii="Arial" w:cs="Arial" w:eastAsia="Arial" w:hAnsi="Arial"/>
                <w:b/>
                <w:bCs/>
                <w:sz w:val="20"/>
                <w:szCs w:val="20"/>
              </w:rPr>
              <w:t xml:space="preserve">Print Name: </w:t>
            </w:r>
            <w:r>
              <w:rPr>
                <w:rFonts w:ascii="Arial" w:cs="Arial" w:eastAsia="Arial" w:hAnsi="Arial"/>
                <w:sz w:val="20"/>
                <w:szCs w:val="20"/>
              </w:rPr>
              <w:t xml:space="preserve">Michael R. Chen</w:t>
            </w:r>
          </w:p>
          <w:p>
            <w:pPr>
              <w:spacing w:after="100" w:before="0"/>
            </w:pPr>
            <w:r>
              <w:rPr>
                <w:rFonts w:ascii="Arial" w:cs="Arial" w:eastAsia="Arial" w:hAnsi="Arial"/>
                <w:b/>
                <w:bCs/>
                <w:sz w:val="20"/>
                <w:szCs w:val="20"/>
              </w:rPr>
              <w:t xml:space="preserve">Title:          </w:t>
            </w:r>
            <w:r>
              <w:rPr>
                <w:rFonts w:ascii="Arial" w:cs="Arial" w:eastAsia="Arial" w:hAnsi="Arial"/>
                <w:sz w:val="20"/>
                <w:szCs w:val="20"/>
              </w:rPr>
              <w:t xml:space="preserve">Managing Member</w:t>
            </w:r>
          </w:p>
          <w:p>
            <w:pPr>
              <w:spacing w:after="0" w:before="0"/>
            </w:pPr>
            <w:r>
              <w:rPr>
                <w:rFonts w:ascii="Arial" w:cs="Arial" w:eastAsia="Arial" w:hAnsi="Arial"/>
                <w:b/>
                <w:bCs/>
                <w:sz w:val="20"/>
                <w:szCs w:val="20"/>
              </w:rPr>
              <w:t xml:space="preserve">Date:           </w:t>
            </w:r>
            <w:r>
              <w:rPr>
                <w:rFonts w:ascii="Arial" w:cs="Arial" w:eastAsia="Arial" w:hAnsi="Arial"/>
                <w:color w:val="6B7E8D"/>
                <w:sz w:val="20"/>
                <w:szCs w:val="20"/>
              </w:rPr>
              <w:t xml:space="preserve">_______________________________</w:t>
            </w:r>
          </w:p>
        </w:tc>
        <w:tc>
          <w:tcPr>
            <w:tcW w:type="dxa" w:w="4480"/>
            <w:tcBorders>
              <w:top w:val="single" w:color="FFFFFF" w:sz="1"/>
              <w:left w:val="single" w:color="FFFFFF" w:sz="1"/>
              <w:bottom w:val="single" w:color="FFFFFF" w:sz="1"/>
              <w:right w:val="single" w:color="FFFFFF" w:sz="1"/>
            </w:tcBorders>
            <w:tcMar>
              <w:top w:type="dxa" w:w="0"/>
              <w:left w:type="dxa" w:w="0"/>
              <w:bottom w:type="dxa" w:w="0"/>
              <w:right w:type="dxa" w:w="200"/>
            </w:tcMar>
          </w:tcPr>
          <w:p>
            <w:pPr>
              <w:spacing w:after="80" w:before="0"/>
            </w:pPr>
            <w:r>
              <w:rPr>
                <w:rFonts w:ascii="Arial" w:cs="Arial" w:eastAsia="Arial" w:hAnsi="Arial"/>
                <w:b/>
                <w:bCs/>
                <w:color w:val="1B3A6B"/>
                <w:sz w:val="20"/>
                <w:szCs w:val="20"/>
              </w:rPr>
              <w:t xml:space="preserve">TENANT</w:t>
            </w:r>
          </w:p>
          <w:p>
            <w:pPr>
              <w:spacing w:after="240" w:before="0"/>
            </w:pPr>
            <w:r>
              <w:rPr>
                <w:rFonts w:ascii="Arial" w:cs="Arial" w:eastAsia="Arial" w:hAnsi="Arial"/>
                <w:sz w:val="20"/>
                <w:szCs w:val="20"/>
              </w:rPr>
              <w:t xml:space="preserve">Acme Legal Technologies, Inc.</w:t>
            </w:r>
          </w:p>
          <w:p>
            <w:pPr>
              <w:spacing w:after="120" w:before="0"/>
            </w:pPr>
            <w:r>
              <w:rPr>
                <w:rFonts w:ascii="Arial" w:cs="Arial" w:eastAsia="Arial" w:hAnsi="Arial"/>
                <w:b/>
                <w:bCs/>
                <w:sz w:val="20"/>
                <w:szCs w:val="20"/>
              </w:rPr>
              <w:t xml:space="preserve">Signature:  </w:t>
            </w:r>
            <w:r>
              <w:rPr>
                <w:rFonts w:ascii="Arial" w:cs="Arial" w:eastAsia="Arial" w:hAnsi="Arial"/>
                <w:color w:val="6B7E8D"/>
                <w:sz w:val="20"/>
                <w:szCs w:val="20"/>
              </w:rPr>
              <w:t xml:space="preserve">_______________________________</w:t>
            </w:r>
          </w:p>
          <w:p>
            <w:pPr>
              <w:spacing w:after="100" w:before="0"/>
            </w:pPr>
            <w:r>
              <w:rPr>
                <w:rFonts w:ascii="Arial" w:cs="Arial" w:eastAsia="Arial" w:hAnsi="Arial"/>
                <w:b/>
                <w:bCs/>
                <w:sz w:val="20"/>
                <w:szCs w:val="20"/>
              </w:rPr>
              <w:t xml:space="preserve">Print Name: </w:t>
            </w:r>
            <w:r>
              <w:rPr>
                <w:rFonts w:ascii="Arial" w:cs="Arial" w:eastAsia="Arial" w:hAnsi="Arial"/>
                <w:sz w:val="20"/>
                <w:szCs w:val="20"/>
              </w:rPr>
              <w:t xml:space="preserve">Sarah J. Williams</w:t>
            </w:r>
          </w:p>
          <w:p>
            <w:pPr>
              <w:spacing w:after="100" w:before="0"/>
            </w:pPr>
            <w:r>
              <w:rPr>
                <w:rFonts w:ascii="Arial" w:cs="Arial" w:eastAsia="Arial" w:hAnsi="Arial"/>
                <w:b/>
                <w:bCs/>
                <w:sz w:val="20"/>
                <w:szCs w:val="20"/>
              </w:rPr>
              <w:t xml:space="preserve">Title:          </w:t>
            </w:r>
            <w:r>
              <w:rPr>
                <w:rFonts w:ascii="Arial" w:cs="Arial" w:eastAsia="Arial" w:hAnsi="Arial"/>
                <w:sz w:val="20"/>
                <w:szCs w:val="20"/>
              </w:rPr>
              <w:t xml:space="preserve">Chief Executive Officer</w:t>
            </w:r>
          </w:p>
          <w:p>
            <w:pPr>
              <w:spacing w:after="0" w:before="0"/>
            </w:pPr>
            <w:r>
              <w:rPr>
                <w:rFonts w:ascii="Arial" w:cs="Arial" w:eastAsia="Arial" w:hAnsi="Arial"/>
                <w:b/>
                <w:bCs/>
                <w:sz w:val="20"/>
                <w:szCs w:val="20"/>
              </w:rPr>
              <w:t xml:space="preserve">Date:           </w:t>
            </w:r>
            <w:r>
              <w:rPr>
                <w:rFonts w:ascii="Arial" w:cs="Arial" w:eastAsia="Arial" w:hAnsi="Arial"/>
                <w:color w:val="6B7E8D"/>
                <w:sz w:val="20"/>
                <w:szCs w:val="20"/>
              </w:rPr>
              <w:t xml:space="preserve">_______________________________</w:t>
            </w:r>
          </w:p>
        </w:tc>
      </w:tr>
    </w:tbl>
    <w:p>
      <w:pPr>
        <w:pageBreakBefore/>
        <w:spacing w:after="0" w:before="0"/>
      </w:pPr>
    </w:p>
    <w:p>
      <w:pPr>
        <w:pBdr>
          <w:bottom w:val="single" w:color="1B3A6B" w:sz="4" w:space="4"/>
        </w:pBdr>
        <w:spacing w:after="240" w:before="0"/>
        <w:jc w:val="center"/>
      </w:pPr>
      <w:r>
        <w:rPr>
          <w:rFonts w:ascii="Arial" w:cs="Arial" w:eastAsia="Arial" w:hAnsi="Arial"/>
          <w:b/>
          <w:bCs/>
          <w:color w:val="1B3A6B"/>
          <w:sz w:val="26"/>
          <w:szCs w:val="26"/>
        </w:rPr>
        <w:t xml:space="preserve">EXHIBIT A — PREMISES FLOOR PLAN</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Property</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555 Market Street, San Francisco, CA 94105</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Floor</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Floor 12 (of 21)</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Total Rentable Area</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18,400 sq ft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Open Office (North Zone)</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9,200 sq ft</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Private Offices (14)</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4,600 sq ft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Conference Rooms (6)</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2,800 sq ft</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Reception &amp; Lobby</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600 sq ft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Server Room / IT Closet</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400 sq ft</w:t>
            </w:r>
          </w:p>
        </w:tc>
      </w:tr>
      <w:tr>
        <w:tc>
          <w:tcPr>
            <w:tcW w:type="dxa" w:w="320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b/>
                <w:bCs/>
                <w:sz w:val="20"/>
                <w:szCs w:val="20"/>
              </w:rPr>
              <w:t xml:space="preserve">Kitchen &amp; Break Room</w:t>
            </w:r>
          </w:p>
        </w:tc>
        <w:tc>
          <w:tcPr>
            <w:tcW w:type="dxa" w:w="6160"/>
            <w:tcBorders>
              <w:top w:val="single" w:color="D8E0E6" w:sz="1"/>
              <w:left w:val="single" w:color="D8E0E6" w:sz="1"/>
              <w:bottom w:val="single" w:color="D8E0E6" w:sz="1"/>
              <w:right w:val="single" w:color="D8E0E6" w:sz="1"/>
            </w:tcBorders>
            <w:shd w:fill="F5F7F9" w:val="clear"/>
            <w:tcMar>
              <w:top w:type="dxa" w:w="80"/>
              <w:left w:type="dxa" w:w="140"/>
              <w:bottom w:type="dxa" w:w="80"/>
              <w:right w:type="dxa" w:w="100"/>
            </w:tcMar>
          </w:tcPr>
          <w:p>
            <w:pPr>
              <w:spacing w:after="0" w:before="0"/>
            </w:pPr>
            <w:r>
              <w:rPr>
                <w:rFonts w:ascii="Arial" w:cs="Arial" w:eastAsia="Arial" w:hAnsi="Arial"/>
                <w:sz w:val="20"/>
                <w:szCs w:val="20"/>
              </w:rPr>
              <w:t xml:space="preserve">800 sq ft</w:t>
            </w:r>
          </w:p>
        </w:tc>
      </w:tr>
      <w:tr>
        <w:tc>
          <w:tcPr>
            <w:tcW w:type="dxa" w:w="320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b/>
                <w:bCs/>
                <w:sz w:val="20"/>
                <w:szCs w:val="20"/>
              </w:rPr>
              <w:t xml:space="preserve">Tenant's Pro-Rata Share</w:t>
            </w:r>
          </w:p>
        </w:tc>
        <w:tc>
          <w:tcPr>
            <w:tcW w:type="dxa" w:w="6160"/>
            <w:tcBorders>
              <w:top w:val="single" w:color="D8E0E6" w:sz="1"/>
              <w:left w:val="single" w:color="D8E0E6" w:sz="1"/>
              <w:bottom w:val="single" w:color="D8E0E6" w:sz="1"/>
              <w:right w:val="single" w:color="D8E0E6" w:sz="1"/>
            </w:tcBorders>
            <w:shd w:fill="FFFFFF" w:val="clear"/>
            <w:tcMar>
              <w:top w:type="dxa" w:w="80"/>
              <w:left w:type="dxa" w:w="140"/>
              <w:bottom w:type="dxa" w:w="80"/>
              <w:right w:type="dxa" w:w="100"/>
            </w:tcMar>
          </w:tcPr>
          <w:p>
            <w:pPr>
              <w:spacing w:after="0" w:before="0"/>
            </w:pPr>
            <w:r>
              <w:rPr>
                <w:rFonts w:ascii="Arial" w:cs="Arial" w:eastAsia="Arial" w:hAnsi="Arial"/>
                <w:sz w:val="20"/>
                <w:szCs w:val="20"/>
              </w:rPr>
              <w:t xml:space="preserve">5.90% (18,400 / 312,000 Building RSF)</w:t>
            </w:r>
          </w:p>
        </w:tc>
      </w:tr>
    </w:tbl>
    <w:p>
      <w:pPr>
        <w:spacing w:after="0" w:before="0"/>
      </w:pPr>
      <w:r>
        <w:rPr>
          <w:rFonts w:ascii="Arial" w:cs="Arial" w:eastAsia="Arial" w:hAnsi="Arial"/>
          <w:sz w:val="22"/>
          <w:szCs w:val="22"/>
        </w:rPr>
        <w:t xml:space="preserve"> </w:t>
      </w:r>
    </w:p>
    <w:p>
      <w:pPr>
        <w:spacing w:after="160" w:before="0"/>
      </w:pPr>
      <w:r>
        <w:rPr>
          <w:rFonts w:ascii="Arial" w:cs="Arial" w:eastAsia="Arial" w:hAnsi="Arial"/>
          <w:i/>
          <w:iCs/>
          <w:color w:val="6B7E8D"/>
          <w:sz w:val="22"/>
          <w:szCs w:val="22"/>
        </w:rPr>
        <w:t xml:space="preserve">Note: Dimensions are approximate. A licensed surveyor confirmation shall be obtained prior to the Commencement Date. Any variance of less than 2% shall not affect Rent or Operating Expense calculations.</w:t>
      </w:r>
    </w:p>
    <w:p>
      <w:pPr>
        <w:pageBreakBefore/>
        <w:spacing w:after="0" w:before="0"/>
      </w:pPr>
    </w:p>
    <w:p>
      <w:pPr>
        <w:pBdr>
          <w:bottom w:val="single" w:color="1B3A6B" w:sz="4" w:space="4"/>
        </w:pBdr>
        <w:spacing w:after="240" w:before="0"/>
        <w:jc w:val="center"/>
      </w:pPr>
      <w:r>
        <w:rPr>
          <w:rFonts w:ascii="Arial" w:cs="Arial" w:eastAsia="Arial" w:hAnsi="Arial"/>
          <w:b/>
          <w:bCs/>
          <w:color w:val="1B3A6B"/>
          <w:sz w:val="26"/>
          <w:szCs w:val="26"/>
        </w:rPr>
        <w:t xml:space="preserve">EXHIBIT B — TENANT IMPROVEMENT WORK</w:t>
      </w:r>
    </w:p>
    <w:p>
      <w:pPr>
        <w:spacing w:after="0" w:before="0"/>
      </w:pPr>
      <w:r>
        <w:rPr>
          <w:rFonts w:ascii="Arial" w:cs="Arial" w:eastAsia="Arial" w:hAnsi="Arial"/>
          <w:sz w:val="22"/>
          <w:szCs w:val="22"/>
        </w:rPr>
        <w:t xml:space="preserve"> </w:t>
      </w:r>
    </w:p>
    <w:p>
      <w:pPr>
        <w:spacing w:after="160" w:before="0"/>
      </w:pPr>
      <w:r>
        <w:rPr>
          <w:rFonts w:ascii="Arial" w:cs="Arial" w:eastAsia="Arial" w:hAnsi="Arial"/>
          <w:sz w:val="22"/>
          <w:szCs w:val="22"/>
        </w:rPr>
        <w:t xml:space="preserve">Landlord shall complete the following Tenant Improvement Work at Landlord's cost prior to the Commencement Date:</w:t>
      </w:r>
    </w:p>
    <w:p>
      <w:pPr>
        <w:pStyle w:val="ListParagraph"/>
        <w:numPr>
          <w:ilvl w:val="0"/>
          <w:numId w:val="2"/>
        </w:numPr>
        <w:spacing w:after="80" w:before="0"/>
      </w:pPr>
      <w:r>
        <w:rPr>
          <w:rFonts w:ascii="Arial" w:cs="Arial" w:eastAsia="Arial" w:hAnsi="Arial"/>
          <w:sz w:val="22"/>
          <w:szCs w:val="22"/>
        </w:rPr>
        <w:t xml:space="preserve">Full repaint of all interior walls in Tenant-selected colours (Benjamin Moore Pale Oak, OC-20)</w:t>
      </w:r>
    </w:p>
    <w:p>
      <w:pPr>
        <w:pStyle w:val="ListParagraph"/>
        <w:numPr>
          <w:ilvl w:val="0"/>
          <w:numId w:val="2"/>
        </w:numPr>
        <w:spacing w:after="80" w:before="0"/>
      </w:pPr>
      <w:r>
        <w:rPr>
          <w:rFonts w:ascii="Arial" w:cs="Arial" w:eastAsia="Arial" w:hAnsi="Arial"/>
          <w:sz w:val="22"/>
          <w:szCs w:val="22"/>
        </w:rPr>
        <w:t xml:space="preserve">Replacement of all carpet with Shaw Contract Etched wool blend flooring throughout</w:t>
      </w:r>
    </w:p>
    <w:p>
      <w:pPr>
        <w:pStyle w:val="ListParagraph"/>
        <w:numPr>
          <w:ilvl w:val="0"/>
          <w:numId w:val="2"/>
        </w:numPr>
        <w:spacing w:after="80" w:before="0"/>
      </w:pPr>
      <w:r>
        <w:rPr>
          <w:rFonts w:ascii="Arial" w:cs="Arial" w:eastAsia="Arial" w:hAnsi="Arial"/>
          <w:sz w:val="22"/>
          <w:szCs w:val="22"/>
        </w:rPr>
        <w:t xml:space="preserve">Installation of 14 private offices with full-height glass-panel fronts per Tenant's approved space plan</w:t>
      </w:r>
    </w:p>
    <w:p>
      <w:pPr>
        <w:pStyle w:val="ListParagraph"/>
        <w:numPr>
          <w:ilvl w:val="0"/>
          <w:numId w:val="2"/>
        </w:numPr>
        <w:spacing w:after="80" w:before="0"/>
      </w:pPr>
      <w:r>
        <w:rPr>
          <w:rFonts w:ascii="Arial" w:cs="Arial" w:eastAsia="Arial" w:hAnsi="Arial"/>
          <w:sz w:val="22"/>
          <w:szCs w:val="22"/>
        </w:rPr>
        <w:t xml:space="preserve">HVAC commissioning, balancing, and recommissioning for the open-office north zone</w:t>
      </w:r>
    </w:p>
    <w:p>
      <w:pPr>
        <w:pStyle w:val="ListParagraph"/>
        <w:numPr>
          <w:ilvl w:val="0"/>
          <w:numId w:val="2"/>
        </w:numPr>
        <w:spacing w:after="80" w:before="0"/>
      </w:pPr>
      <w:r>
        <w:rPr>
          <w:rFonts w:ascii="Arial" w:cs="Arial" w:eastAsia="Arial" w:hAnsi="Arial"/>
          <w:sz w:val="22"/>
          <w:szCs w:val="22"/>
        </w:rPr>
        <w:t xml:space="preserve">Server room raised flooring, dedicated 200A electrical panel, and precision cooling unit</w:t>
      </w:r>
    </w:p>
    <w:p>
      <w:pPr>
        <w:pStyle w:val="ListParagraph"/>
        <w:numPr>
          <w:ilvl w:val="0"/>
          <w:numId w:val="2"/>
        </w:numPr>
        <w:spacing w:after="80" w:before="0"/>
      </w:pPr>
      <w:r>
        <w:rPr>
          <w:rFonts w:ascii="Arial" w:cs="Arial" w:eastAsia="Arial" w:hAnsi="Arial"/>
          <w:sz w:val="22"/>
          <w:szCs w:val="22"/>
        </w:rPr>
        <w:t xml:space="preserve">Landlord contribution toward conference room AV systems: up to $120,000 (Tenant to manage procurement)</w:t>
      </w:r>
    </w:p>
    <w:p>
      <w:pPr>
        <w:pStyle w:val="ListParagraph"/>
        <w:numPr>
          <w:ilvl w:val="0"/>
          <w:numId w:val="2"/>
        </w:numPr>
        <w:spacing w:after="80" w:before="0"/>
      </w:pPr>
      <w:r>
        <w:rPr>
          <w:rFonts w:ascii="Arial" w:cs="Arial" w:eastAsia="Arial" w:hAnsi="Arial"/>
          <w:sz w:val="22"/>
          <w:szCs w:val="22"/>
        </w:rPr>
        <w:t xml:space="preserve">Upgrade of LED lighting to DALI-controlled fixtures throughout, with daylight harvesting sensors</w:t>
      </w:r>
    </w:p>
    <w:p>
      <w:pPr>
        <w:pageBreakBefore/>
        <w:spacing w:after="0" w:before="0"/>
      </w:pPr>
    </w:p>
    <w:p>
      <w:pPr>
        <w:pBdr>
          <w:bottom w:val="single" w:color="1B3A6B" w:sz="4" w:space="4"/>
        </w:pBdr>
        <w:spacing w:after="240" w:before="0"/>
        <w:jc w:val="center"/>
      </w:pPr>
      <w:r>
        <w:rPr>
          <w:rFonts w:ascii="Arial" w:cs="Arial" w:eastAsia="Arial" w:hAnsi="Arial"/>
          <w:b/>
          <w:bCs/>
          <w:color w:val="1B3A6B"/>
          <w:sz w:val="26"/>
          <w:szCs w:val="26"/>
        </w:rPr>
        <w:t xml:space="preserve">EXHIBIT C — OPERATING COST PROVISIONS</w:t>
      </w:r>
    </w:p>
    <w:p>
      <w:pPr>
        <w:spacing w:after="0" w:before="0"/>
      </w:pPr>
      <w:r>
        <w:rPr>
          <w:rFonts w:ascii="Arial" w:cs="Arial" w:eastAsia="Arial" w:hAnsi="Arial"/>
          <w:sz w:val="22"/>
          <w:szCs w:val="22"/>
        </w:rPr>
        <w:t xml:space="preserve"> </w:t>
      </w:r>
    </w:p>
    <w:p>
      <w:pPr>
        <w:spacing w:after="160" w:before="0"/>
      </w:pPr>
      <w:r>
        <w:rPr>
          <w:rFonts w:ascii="Arial" w:cs="Arial" w:eastAsia="Arial" w:hAnsi="Arial"/>
          <w:sz w:val="22"/>
          <w:szCs w:val="22"/>
        </w:rPr>
        <w:t xml:space="preserve">Tenant's proportionate share of Operating Expenses is subject to the following:</w:t>
      </w:r>
    </w:p>
    <w:p>
      <w:pPr>
        <w:pStyle w:val="ListParagraph"/>
        <w:numPr>
          <w:ilvl w:val="0"/>
          <w:numId w:val="2"/>
        </w:numPr>
        <w:spacing w:after="80" w:before="0"/>
      </w:pPr>
      <w:r>
        <w:rPr>
          <w:rFonts w:ascii="Arial" w:cs="Arial" w:eastAsia="Arial" w:hAnsi="Arial"/>
          <w:sz w:val="22"/>
          <w:szCs w:val="22"/>
        </w:rPr>
        <w:t xml:space="preserve">Annual increases in controllable Operating Expenses shall not exceed five percent (5%) over the prior year.</w:t>
      </w:r>
    </w:p>
    <w:p>
      <w:pPr>
        <w:pStyle w:val="ListParagraph"/>
        <w:numPr>
          <w:ilvl w:val="0"/>
          <w:numId w:val="2"/>
        </w:numPr>
        <w:spacing w:after="80" w:before="0"/>
      </w:pPr>
      <w:r>
        <w:rPr>
          <w:rFonts w:ascii="Arial" w:cs="Arial" w:eastAsia="Arial" w:hAnsi="Arial"/>
          <w:sz w:val="22"/>
          <w:szCs w:val="22"/>
        </w:rPr>
        <w:t xml:space="preserve">Capital expenditures are excluded unless amortised over useful life with pro-rata benefit to Tenant.</w:t>
      </w:r>
    </w:p>
    <w:p>
      <w:pPr>
        <w:pStyle w:val="ListParagraph"/>
        <w:numPr>
          <w:ilvl w:val="0"/>
          <w:numId w:val="2"/>
        </w:numPr>
        <w:spacing w:after="80" w:before="0"/>
      </w:pPr>
      <w:r>
        <w:rPr>
          <w:rFonts w:ascii="Arial" w:cs="Arial" w:eastAsia="Arial" w:hAnsi="Arial"/>
          <w:sz w:val="22"/>
          <w:szCs w:val="22"/>
        </w:rPr>
        <w:t xml:space="preserve">Landlord management fees are capped at three percent (3%) of gross Building revenues.</w:t>
      </w:r>
    </w:p>
    <w:p>
      <w:pPr>
        <w:pStyle w:val="ListParagraph"/>
        <w:numPr>
          <w:ilvl w:val="0"/>
          <w:numId w:val="2"/>
        </w:numPr>
        <w:spacing w:after="80" w:before="0"/>
      </w:pPr>
      <w:r>
        <w:rPr>
          <w:rFonts w:ascii="Arial" w:cs="Arial" w:eastAsia="Arial" w:hAnsi="Arial"/>
          <w:sz w:val="22"/>
          <w:szCs w:val="22"/>
        </w:rPr>
        <w:t xml:space="preserve">Operating Expenses are reconciled annually within ninety (90) days after each calendar year-end.</w:t>
      </w:r>
    </w:p>
    <w:p>
      <w:pPr>
        <w:pStyle w:val="ListParagraph"/>
        <w:numPr>
          <w:ilvl w:val="0"/>
          <w:numId w:val="2"/>
        </w:numPr>
        <w:spacing w:after="80" w:before="0"/>
      </w:pPr>
      <w:r>
        <w:rPr>
          <w:rFonts w:ascii="Arial" w:cs="Arial" w:eastAsia="Arial" w:hAnsi="Arial"/>
          <w:sz w:val="22"/>
          <w:szCs w:val="22"/>
        </w:rPr>
        <w:t xml:space="preserve">Tenant shall have the right to audit Operating Expense statements once per calendar year upon thirty (30) days' written notice.</w:t>
      </w:r>
    </w:p>
    <w:p>
      <w:pPr>
        <w:spacing w:after="0" w:before="0"/>
      </w:pPr>
      <w:r>
        <w:rPr>
          <w:rFonts w:ascii="Arial" w:cs="Arial" w:eastAsia="Arial" w:hAnsi="Arial"/>
          <w:sz w:val="22"/>
          <w:szCs w:val="22"/>
        </w:rPr>
        <w:t xml:space="preserve"> </w:t>
      </w:r>
    </w:p>
    <w:p>
      <w:pPr>
        <w:spacing w:after="160" w:before="0"/>
      </w:pPr>
      <w:r>
        <w:rPr>
          <w:rFonts w:ascii="Arial" w:cs="Arial" w:eastAsia="Arial" w:hAnsi="Arial"/>
          <w:color w:val="6B7E8D"/>
          <w:sz w:val="18"/>
          <w:szCs w:val="18"/>
        </w:rPr>
        <w:t xml:space="preserve">[END OF AGREEMENT]  |  Document Ref: LG-LEASE-2022-SF-001  |  Execution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2" w:space="4"/>
      </w:pBdr>
      <w:tabs>
        <w:tab w:val="right" w:pos="9026"/>
      </w:tabs>
    </w:pPr>
    <w:r>
      <w:rPr>
        <w:rFonts w:ascii="Arial" w:cs="Arial" w:eastAsia="Arial" w:hAnsi="Arial"/>
        <w:color w:val="6B7E8D"/>
        <w:sz w:val="16"/>
        <w:szCs w:val="16"/>
      </w:rPr>
      <w:t xml:space="preserve">Pacific Gateway Properties, LLC  ·  Acme Legal Technologies, Inc.</w:t>
    </w:r>
    <w:r>
      <w:rPr>
        <w:rFonts w:ascii="Arial" w:cs="Arial" w:eastAsia="Arial" w:hAnsi="Arial"/>
        <w:sz w:val="16"/>
        <w:szCs w:val="16"/>
      </w:rPr>
      <w:t xml:space="preserve">	</w:t>
    </w:r>
    <w:r>
      <w:rPr>
        <w:rFonts w:ascii="Arial" w:cs="Arial" w:eastAsia="Arial" w:hAnsi="Arial"/>
        <w:color w:val="6B7E8D"/>
        <w:sz w:val="16"/>
        <w:szCs w:val="16"/>
      </w:rPr>
      <w:t xml:space="preserve">Page </w:t>
    </w:r>
    <w:r>
      <w:rPr>
        <w:rFonts w:ascii="Arial" w:cs="Arial" w:eastAsia="Arial" w:hAnsi="Arial"/>
        <w:color w:val="6B7E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6" w:sz="2" w:space="4"/>
      </w:pBdr>
      <w:tabs>
        <w:tab w:val="right" w:pos="9026"/>
      </w:tabs>
    </w:pPr>
    <w:r>
      <w:rPr>
        <w:rFonts w:ascii="Arial" w:cs="Arial" w:eastAsia="Arial" w:hAnsi="Arial"/>
        <w:color w:val="6B7E8D"/>
        <w:sz w:val="17"/>
        <w:szCs w:val="17"/>
      </w:rPr>
      <w:t xml:space="preserve">COMMERCIAL OFFICE LEASE  |  555 Market Street, Floor 12</w:t>
    </w:r>
    <w:r>
      <w:rPr>
        <w:rFonts w:ascii="Arial" w:cs="Arial" w:eastAsia="Arial" w:hAnsi="Arial"/>
        <w:sz w:val="17"/>
        <w:szCs w:val="17"/>
      </w:rPr>
      <w:t xml:space="preserve">	</w:t>
    </w:r>
    <w:r>
      <w:rPr>
        <w:rFonts w:ascii="Arial" w:cs="Arial" w:eastAsia="Arial" w:hAnsi="Arial"/>
        <w:i/>
        <w:iCs/>
        <w:color w:val="6B7E8D"/>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2026-05-04T03:42:16.028Z</dcterms:created>
  <dcterms:modified xsi:type="dcterms:W3CDTF">2026-05-04T03:42:16.029Z</dcterms:modified>
</cp:coreProperties>
</file>

<file path=docProps/custom.xml><?xml version="1.0" encoding="utf-8"?>
<Properties xmlns="http://schemas.openxmlformats.org/officeDocument/2006/custom-properties" xmlns:vt="http://schemas.openxmlformats.org/officeDocument/2006/docPropsVTypes"/>
</file>