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Helios Energy plc — Annual Report FY2025</w:t>
      </w:r>
    </w:p>
    <w:p>
      <w:r>
        <w:t>Fictional sample document generated for Alpha Detective testing.</w:t>
      </w:r>
    </w:p>
    <w:p>
      <w:pPr>
        <w:pStyle w:val="Heading1"/>
      </w:pPr>
      <w:r>
        <w:t>Chairman's Statement</w:t>
      </w:r>
    </w:p>
    <w:p>
      <w:r>
        <w:t>Fiscal 2025 was a year of disciplined delivery for Helios Energy plc. Group revenue was $6.3 billion, and adjusted EBITDA reached $1.9 billion, reflecting resilient generation output and tight cost control. We ended the year with net debt of $4.1 billion, comfortably within our target leverage range.</w:t>
      </w:r>
    </w:p>
    <w:p>
      <w:pPr>
        <w:pStyle w:val="Heading1"/>
      </w:pPr>
      <w:r>
        <w:t>Strategic Progress</w:t>
      </w:r>
    </w:p>
    <w:p>
      <w:r>
        <w:t>Our renewables portfolio reached 3.2 GW of installed capacity, anchored by the commissioning of the Solara Ridge and North Moor wind projects. Helios employed approximately 8,500 people at year end across generation, networks, and corporate functions.</w:t>
      </w:r>
    </w:p>
    <w:p>
      <w:pPr>
        <w:pStyle w:val="Heading1"/>
      </w:pPr>
      <w:r>
        <w:t>Outlook and Capital Allocation</w:t>
      </w:r>
    </w:p>
    <w:p>
      <w:r>
        <w:t>For FY2026 the board has set capital expenditure guidance of $1.1 billion, weighted toward grid modernization and new renewable capacity. The board reaffirmed the group's dividend policy of a 40% payout of adjusted earnings.</w:t>
      </w:r>
    </w:p>
    <w:p>
      <w:pPr>
        <w:pStyle w:val="Heading1"/>
      </w:pPr>
      <w:r>
        <w:t>Financial Summary</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FY2025</w:t>
            </w:r>
          </w:p>
        </w:tc>
      </w:tr>
      <w:tr>
        <w:tc>
          <w:tcPr>
            <w:tcW w:type="dxa" w:w="4320"/>
          </w:tcPr>
          <w:p>
            <w:r>
              <w:t>Revenue</w:t>
            </w:r>
          </w:p>
        </w:tc>
        <w:tc>
          <w:tcPr>
            <w:tcW w:type="dxa" w:w="4320"/>
          </w:tcPr>
          <w:p>
            <w:r>
              <w:t>$6.3 billion</w:t>
            </w:r>
          </w:p>
        </w:tc>
      </w:tr>
      <w:tr>
        <w:tc>
          <w:tcPr>
            <w:tcW w:type="dxa" w:w="4320"/>
          </w:tcPr>
          <w:p>
            <w:r>
              <w:t>Adjusted EBITDA</w:t>
            </w:r>
          </w:p>
        </w:tc>
        <w:tc>
          <w:tcPr>
            <w:tcW w:type="dxa" w:w="4320"/>
          </w:tcPr>
          <w:p>
            <w:r>
              <w:t>$1.9 billion</w:t>
            </w:r>
          </w:p>
        </w:tc>
      </w:tr>
      <w:tr>
        <w:tc>
          <w:tcPr>
            <w:tcW w:type="dxa" w:w="4320"/>
          </w:tcPr>
          <w:p>
            <w:r>
              <w:t>Net debt</w:t>
            </w:r>
          </w:p>
        </w:tc>
        <w:tc>
          <w:tcPr>
            <w:tcW w:type="dxa" w:w="4320"/>
          </w:tcPr>
          <w:p>
            <w:r>
              <w:t>$4.1 billion</w:t>
            </w:r>
          </w:p>
        </w:tc>
      </w:tr>
      <w:tr>
        <w:tc>
          <w:tcPr>
            <w:tcW w:type="dxa" w:w="4320"/>
          </w:tcPr>
          <w:p>
            <w:r>
              <w:t>Installed renewable capacity</w:t>
            </w:r>
          </w:p>
        </w:tc>
        <w:tc>
          <w:tcPr>
            <w:tcW w:type="dxa" w:w="4320"/>
          </w:tcPr>
          <w:p>
            <w:r>
              <w:t>3.2 GW</w:t>
            </w:r>
          </w:p>
        </w:tc>
      </w:tr>
      <w:tr>
        <w:tc>
          <w:tcPr>
            <w:tcW w:type="dxa" w:w="4320"/>
          </w:tcPr>
          <w:p>
            <w:r>
              <w:t>Employees</w:t>
            </w:r>
          </w:p>
        </w:tc>
        <w:tc>
          <w:tcPr>
            <w:tcW w:type="dxa" w:w="4320"/>
          </w:tcPr>
          <w:p>
            <w:r>
              <w:t>8,500</w:t>
            </w:r>
          </w:p>
        </w:tc>
      </w:tr>
      <w:tr>
        <w:tc>
          <w:tcPr>
            <w:tcW w:type="dxa" w:w="4320"/>
          </w:tcPr>
          <w:p>
            <w:r>
              <w:t>FY2026 capex guidance</w:t>
            </w:r>
          </w:p>
        </w:tc>
        <w:tc>
          <w:tcPr>
            <w:tcW w:type="dxa" w:w="4320"/>
          </w:tcPr>
          <w:p>
            <w:r>
              <w:t>$1.1 billion</w:t>
            </w:r>
          </w:p>
        </w:tc>
      </w:tr>
      <w:tr>
        <w:tc>
          <w:tcPr>
            <w:tcW w:type="dxa" w:w="4320"/>
          </w:tcPr>
          <w:p>
            <w:r>
              <w:t>Dividend payout policy</w:t>
            </w:r>
          </w:p>
        </w:tc>
        <w:tc>
          <w:tcPr>
            <w:tcW w:type="dxa" w:w="4320"/>
          </w:tcPr>
          <w:p>
            <w:r>
              <w:t>40% of adjusted earnings</w:t>
            </w:r>
          </w:p>
        </w:tc>
      </w:tr>
    </w:tbl>
    <w:p>
      <w:r>
        <w:t>Helios Energy plc is a fictional integrated energy group created as sample data; it describes no real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