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2A44"/>
          <w:sz w:val="52"/>
          <w:szCs w:val="52"/>
        </w:rPr>
        <w:t xml:space="preserve">Irish Legal AI Assistant</w:t>
      </w:r>
    </w:p>
    <w:p>
      <w:pPr>
        <w:spacing w:after="100" w:before="200"/>
        <w:jc w:val="center"/>
      </w:pPr>
      <w:r>
        <w:rPr>
          <w:b/>
          <w:bCs/>
          <w:color w:val="2E5AA8"/>
          <w:sz w:val="32"/>
          <w:szCs w:val="32"/>
        </w:rPr>
        <w:t xml:space="preserve">Technical Documentation</w:t>
      </w:r>
    </w:p>
    <w:p>
      <w:pPr>
        <w:spacing w:after="100" w:before="100"/>
        <w:jc w:val="center"/>
      </w:pPr>
      <w:r>
        <w:rPr>
          <w:i/>
          <w:iCs/>
          <w:color w:val="5B6472"/>
          <w:sz w:val="22"/>
          <w:szCs w:val="22"/>
        </w:rPr>
        <w:t xml:space="preserve">System Design, Architecture &amp; Implementation Reference</w:t>
      </w:r>
    </w:p>
    <w:p>
      <w:pPr>
        <w:spacing w:before="600"/>
        <w:jc w:val="center"/>
      </w:pPr>
      <w:r>
        <w:rPr>
          <w:color w:val="5B6472"/>
          <w:sz w:val="20"/>
          <w:szCs w:val="20"/>
        </w:rPr>
        <w:t xml:space="preserve">Version 1.0</w:t>
      </w:r>
    </w:p>
    <w:p>
      <w:pPr>
        <w:jc w:val="center"/>
      </w:pPr>
      <w:r>
        <w:rPr>
          <w:color w:val="5B6472"/>
          <w:sz w:val="20"/>
          <w:szCs w:val="20"/>
        </w:rPr>
        <w:t xml:space="preserve">Retrieval-Augmented Generation (RAG) Legal Chatbot — FastAPI / LangChain / ChromaDB / Redis</w:t>
      </w:r>
    </w:p>
    <w:p>
      <w:r>
        <w:br w:type="page"/>
      </w:r>
    </w:p>
    <w:p>
      <w:pPr>
        <w:pStyle w:val="Heading1"/>
        <w:pBdr>
          <w:bottom w:val="single" w:color="2E5AA8" w:sz="6" w:space="4"/>
        </w:pBdr>
        <w:spacing w:after="200" w:before="400"/>
      </w:pPr>
      <w:r>
        <w:rPr>
          <w:b/>
          <w:bCs/>
          <w:color w:val="1F2A44"/>
          <w:sz w:val="30"/>
          <w:szCs w:val="30"/>
        </w:rPr>
        <w:t xml:space="preserve">1. Overview</w:t>
      </w:r>
    </w:p>
    <w:p>
      <w:pPr>
        <w:spacing w:after="160" w:line="300"/>
      </w:pPr>
      <w:r>
        <w:rPr>
          <w:color w:val="222222"/>
          <w:sz w:val="21"/>
          <w:szCs w:val="21"/>
        </w:rPr>
        <w:t xml:space="preserve">The Irish Legal AI Assistant is a web-based conversational application that answers questions about Irish law. It is built as a Retrieval-Augmented Generation (RAG) system: rather than relying purely on a language model's built-in knowledge, the backend first searches a curated legal document database for relevant material and then asks a large language model to compose an answer grounded in that material. When the database does not hold a confident match, the system falls back to the model's general legal knowledge and says so, rather than pretending the answer came from a verified source.</w:t>
      </w:r>
    </w:p>
    <w:p>
      <w:pPr>
        <w:spacing w:after="160" w:line="300"/>
      </w:pPr>
      <w:r>
        <w:rPr>
          <w:color w:val="222222"/>
          <w:sz w:val="21"/>
          <w:szCs w:val="21"/>
        </w:rPr>
        <w:t xml:space="preserve">The application is composed of a single-page HTML/JavaScript front end and a Python backend built on FastAPI. The backend is responsible for query understanding, document retrieval, prompt construction, session/state management, rate limiting, and content moderation. It is served as one deployable unit, with the front end shipped as a static file and the API exposed under the same origin.</w:t>
      </w:r>
    </w:p>
    <w:p>
      <w:pPr>
        <w:pStyle w:val="Heading2"/>
        <w:spacing w:after="140" w:before="300"/>
      </w:pPr>
      <w:r>
        <w:rPr>
          <w:b/>
          <w:bCs/>
          <w:color w:val="2E5AA8"/>
          <w:sz w:val="24"/>
          <w:szCs w:val="24"/>
        </w:rPr>
        <w:t xml:space="preserve">1.1 Goals of the System</w:t>
      </w:r>
    </w:p>
    <w:p>
      <w:pPr>
        <w:pStyle w:val="ListParagraph"/>
        <w:numPr>
          <w:ilvl w:val="0"/>
          <w:numId w:val="2"/>
        </w:numPr>
        <w:spacing w:after="90" w:line="280"/>
      </w:pPr>
      <w:r>
        <w:rPr>
          <w:color w:val="222222"/>
          <w:sz w:val="21"/>
          <w:szCs w:val="21"/>
        </w:rPr>
        <w:t xml:space="preserve">Answer Irish legal questions (employment law, tenancy, family law, criminal law, GDPR, taxation, etc.) using an evidence-grounded approach rather than open-ended generation.</w:t>
      </w:r>
    </w:p>
    <w:p>
      <w:pPr>
        <w:pStyle w:val="ListParagraph"/>
        <w:numPr>
          <w:ilvl w:val="0"/>
          <w:numId w:val="2"/>
        </w:numPr>
        <w:spacing w:after="90" w:line="280"/>
      </w:pPr>
      <w:r>
        <w:rPr>
          <w:color w:val="222222"/>
          <w:sz w:val="21"/>
          <w:szCs w:val="21"/>
        </w:rPr>
        <w:t xml:space="preserve">Distinguish between casual greetings, questions unrelated to law, and genuine legal queries, and respond appropriately to each.</w:t>
      </w:r>
    </w:p>
    <w:p>
      <w:pPr>
        <w:pStyle w:val="ListParagraph"/>
        <w:numPr>
          <w:ilvl w:val="0"/>
          <w:numId w:val="2"/>
        </w:numPr>
        <w:spacing w:after="90" w:line="280"/>
      </w:pPr>
      <w:r>
        <w:rPr>
          <w:color w:val="222222"/>
          <w:sz w:val="21"/>
          <w:szCs w:val="21"/>
        </w:rPr>
        <w:t xml:space="preserve">Detect when a question is time-sensitive (e.g. references to "2025", "latest", "amendment") and prioritise the most recent legislative context available.</w:t>
      </w:r>
    </w:p>
    <w:p>
      <w:pPr>
        <w:pStyle w:val="ListParagraph"/>
        <w:numPr>
          <w:ilvl w:val="0"/>
          <w:numId w:val="2"/>
        </w:numPr>
        <w:spacing w:after="90" w:line="280"/>
      </w:pPr>
      <w:r>
        <w:rPr>
          <w:color w:val="222222"/>
          <w:sz w:val="21"/>
          <w:szCs w:val="21"/>
        </w:rPr>
        <w:t xml:space="preserve">Maintain a short conversational memory per user session without requiring an account or login.</w:t>
      </w:r>
    </w:p>
    <w:p>
      <w:pPr>
        <w:pStyle w:val="ListParagraph"/>
        <w:numPr>
          <w:ilvl w:val="0"/>
          <w:numId w:val="2"/>
        </w:numPr>
        <w:spacing w:after="90" w:line="280"/>
      </w:pPr>
      <w:r>
        <w:rPr>
          <w:color w:val="222222"/>
          <w:sz w:val="21"/>
          <w:szCs w:val="21"/>
        </w:rPr>
        <w:t xml:space="preserve">Apply content moderation to both the incoming question and the generated answer before it reaches the user.</w:t>
      </w:r>
    </w:p>
    <w:p>
      <w:pPr>
        <w:pStyle w:val="ListParagraph"/>
        <w:numPr>
          <w:ilvl w:val="0"/>
          <w:numId w:val="2"/>
        </w:numPr>
        <w:spacing w:after="90" w:line="280"/>
      </w:pPr>
      <w:r>
        <w:rPr>
          <w:color w:val="222222"/>
          <w:sz w:val="21"/>
          <w:szCs w:val="21"/>
        </w:rPr>
        <w:t xml:space="preserve">Degrade gracefully: if the vector database, the LLM, or the moderation endpoint fails, the system logs the failure and still attempts to return a usable response rather than crashing the request.</w:t>
      </w:r>
    </w:p>
    <w:p>
      <w:pPr>
        <w:pStyle w:val="Heading1"/>
        <w:pBdr>
          <w:bottom w:val="single" w:color="2E5AA8" w:sz="6" w:space="4"/>
        </w:pBdr>
        <w:spacing w:after="200" w:before="400"/>
      </w:pPr>
      <w:r>
        <w:rPr>
          <w:b/>
          <w:bCs/>
          <w:color w:val="1F2A44"/>
          <w:sz w:val="30"/>
          <w:szCs w:val="30"/>
        </w:rPr>
        <w:t xml:space="preserve">2. System Architecture</w:t>
      </w:r>
    </w:p>
    <w:p>
      <w:pPr>
        <w:spacing w:after="160" w:line="300"/>
      </w:pPr>
      <w:r>
        <w:rPr>
          <w:color w:val="222222"/>
          <w:sz w:val="21"/>
          <w:szCs w:val="21"/>
        </w:rPr>
        <w:t xml:space="preserve">The system follows a layered, service-oriented architecture. The front end never talks to OpenAI, ChromaDB, or Redis directly — every external call is proxied and orchestrated by the FastAPI backend. This keeps all API keys server-side and gives the backend a single place to apply moderation, rate limiting, and session rules.</w:t>
      </w:r>
    </w:p>
    <w:p>
      <w:pPr>
        <w:pStyle w:val="Heading2"/>
        <w:spacing w:after="140" w:before="300"/>
      </w:pPr>
      <w:r>
        <w:rPr>
          <w:b/>
          <w:bCs/>
          <w:color w:val="2E5AA8"/>
          <w:sz w:val="24"/>
          <w:szCs w:val="24"/>
        </w:rPr>
        <w:t xml:space="preserve">2.1 High-Level Components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200"/>
      </w:tblGrid>
      <w:tr>
        <w:trPr>
          <w:tblHeader/>
        </w:trPr>
        <w:tc>
          <w:tcPr>
            <w:tcW w:type="dxa" w:w="2400"/>
            <w:shd w:fill="1F2A44" w:val="clear"/>
            <w:tcMar>
              <w:top w:type="dxa" w:w="90"/>
              <w:left w:type="dxa" w:w="110"/>
              <w:bottom w:type="dxa" w:w="90"/>
              <w:right w:type="dxa" w:w="110"/>
            </w:tcMar>
          </w:tcPr>
          <w:p>
            <w:r>
              <w:rPr>
                <w:b/>
                <w:bCs/>
                <w:color w:val="FFFFFF"/>
                <w:sz w:val="19"/>
                <w:szCs w:val="19"/>
              </w:rPr>
              <w:t xml:space="preserve">Layer</w:t>
            </w:r>
          </w:p>
        </w:tc>
        <w:tc>
          <w:tcPr>
            <w:tcW w:type="dxa" w:w="3600"/>
            <w:shd w:fill="1F2A44" w:val="clear"/>
            <w:tcMar>
              <w:top w:type="dxa" w:w="90"/>
              <w:left w:type="dxa" w:w="110"/>
              <w:bottom w:type="dxa" w:w="90"/>
              <w:right w:type="dxa" w:w="110"/>
            </w:tcMar>
          </w:tcPr>
          <w:p>
            <w:r>
              <w:rPr>
                <w:b/>
                <w:bCs/>
                <w:color w:val="FFFFFF"/>
                <w:sz w:val="19"/>
                <w:szCs w:val="19"/>
              </w:rPr>
              <w:t xml:space="preserve">Technology</w:t>
            </w:r>
          </w:p>
        </w:tc>
        <w:tc>
          <w:tcPr>
            <w:tcW w:type="dxa" w:w="4200"/>
            <w:shd w:fill="1F2A44" w:val="clear"/>
            <w:tcMar>
              <w:top w:type="dxa" w:w="90"/>
              <w:left w:type="dxa" w:w="110"/>
              <w:bottom w:type="dxa" w:w="90"/>
              <w:right w:type="dxa" w:w="110"/>
            </w:tcMar>
          </w:tcPr>
          <w:p>
            <w:r>
              <w:rPr>
                <w:b/>
                <w:bCs/>
                <w:color w:val="FFFFFF"/>
                <w:sz w:val="19"/>
                <w:szCs w:val="19"/>
              </w:rPr>
              <w:t xml:space="preserve">Responsibility</w:t>
            </w:r>
          </w:p>
        </w:tc>
      </w:tr>
      <w:tr>
        <w:tc>
          <w:tcPr>
            <w:tcW w:type="dxa" w:w="2400"/>
            <w:tcMar>
              <w:top w:type="dxa" w:w="90"/>
              <w:left w:type="dxa" w:w="110"/>
              <w:bottom w:type="dxa" w:w="90"/>
              <w:right w:type="dxa" w:w="110"/>
            </w:tcMar>
          </w:tcPr>
          <w:p>
            <w:r>
              <w:rPr>
                <w:b w:val="false"/>
                <w:bCs w:val="false"/>
                <w:color w:val="222222"/>
                <w:sz w:val="19"/>
                <w:szCs w:val="19"/>
              </w:rPr>
              <w:t xml:space="preserve">Presentation</w:t>
            </w:r>
          </w:p>
        </w:tc>
        <w:tc>
          <w:tcPr>
            <w:tcW w:type="dxa" w:w="3600"/>
            <w:tcMar>
              <w:top w:type="dxa" w:w="90"/>
              <w:left w:type="dxa" w:w="110"/>
              <w:bottom w:type="dxa" w:w="90"/>
              <w:right w:type="dxa" w:w="110"/>
            </w:tcMar>
          </w:tcPr>
          <w:p>
            <w:r>
              <w:rPr>
                <w:b w:val="false"/>
                <w:bCs w:val="false"/>
                <w:color w:val="222222"/>
                <w:sz w:val="19"/>
                <w:szCs w:val="19"/>
              </w:rPr>
              <w:t xml:space="preserve">HTML5, CSS3, vanilla JavaScript (index.html)</w:t>
            </w:r>
          </w:p>
        </w:tc>
        <w:tc>
          <w:tcPr>
            <w:tcW w:type="dxa" w:w="4200"/>
            <w:tcMar>
              <w:top w:type="dxa" w:w="90"/>
              <w:left w:type="dxa" w:w="110"/>
              <w:bottom w:type="dxa" w:w="90"/>
              <w:right w:type="dxa" w:w="110"/>
            </w:tcMar>
          </w:tcPr>
          <w:p>
            <w:r>
              <w:rPr>
                <w:b w:val="false"/>
                <w:bCs w:val="false"/>
                <w:color w:val="222222"/>
                <w:sz w:val="19"/>
                <w:szCs w:val="19"/>
              </w:rPr>
              <w:t xml:space="preserve">Chat interface, session status polling, message rendering, source citation display</w:t>
            </w:r>
          </w:p>
        </w:tc>
      </w:tr>
      <w:tr>
        <w:tc>
          <w:tcPr>
            <w:tcW w:type="dxa" w:w="2400"/>
            <w:shd w:fill="EDF1F7" w:val="clear"/>
            <w:tcMar>
              <w:top w:type="dxa" w:w="90"/>
              <w:left w:type="dxa" w:w="110"/>
              <w:bottom w:type="dxa" w:w="90"/>
              <w:right w:type="dxa" w:w="110"/>
            </w:tcMar>
          </w:tcPr>
          <w:p>
            <w:r>
              <w:rPr>
                <w:b w:val="false"/>
                <w:bCs w:val="false"/>
                <w:color w:val="222222"/>
                <w:sz w:val="19"/>
                <w:szCs w:val="19"/>
              </w:rPr>
              <w:t xml:space="preserve">API layer</w:t>
            </w:r>
          </w:p>
        </w:tc>
        <w:tc>
          <w:tcPr>
            <w:tcW w:type="dxa" w:w="3600"/>
            <w:shd w:fill="EDF1F7" w:val="clear"/>
            <w:tcMar>
              <w:top w:type="dxa" w:w="90"/>
              <w:left w:type="dxa" w:w="110"/>
              <w:bottom w:type="dxa" w:w="90"/>
              <w:right w:type="dxa" w:w="110"/>
            </w:tcMar>
          </w:tcPr>
          <w:p>
            <w:r>
              <w:rPr>
                <w:b w:val="false"/>
                <w:bCs w:val="false"/>
                <w:color w:val="222222"/>
                <w:sz w:val="19"/>
                <w:szCs w:val="19"/>
              </w:rPr>
              <w:t xml:space="preserve">FastAPI (Python, ASGI)</w:t>
            </w:r>
          </w:p>
        </w:tc>
        <w:tc>
          <w:tcPr>
            <w:tcW w:type="dxa" w:w="4200"/>
            <w:shd w:fill="EDF1F7" w:val="clear"/>
            <w:tcMar>
              <w:top w:type="dxa" w:w="90"/>
              <w:left w:type="dxa" w:w="110"/>
              <w:bottom w:type="dxa" w:w="90"/>
              <w:right w:type="dxa" w:w="110"/>
            </w:tcMar>
          </w:tcPr>
          <w:p>
            <w:r>
              <w:rPr>
                <w:b w:val="false"/>
                <w:bCs w:val="false"/>
                <w:color w:val="222222"/>
                <w:sz w:val="19"/>
                <w:szCs w:val="19"/>
              </w:rPr>
              <w:t xml:space="preserve">Request validation, routing, cookies, rate limiting, exception handling</w:t>
            </w:r>
          </w:p>
        </w:tc>
      </w:tr>
      <w:tr>
        <w:tc>
          <w:tcPr>
            <w:tcW w:type="dxa" w:w="2400"/>
            <w:tcMar>
              <w:top w:type="dxa" w:w="90"/>
              <w:left w:type="dxa" w:w="110"/>
              <w:bottom w:type="dxa" w:w="90"/>
              <w:right w:type="dxa" w:w="110"/>
            </w:tcMar>
          </w:tcPr>
          <w:p>
            <w:r>
              <w:rPr>
                <w:b w:val="false"/>
                <w:bCs w:val="false"/>
                <w:color w:val="222222"/>
                <w:sz w:val="19"/>
                <w:szCs w:val="19"/>
              </w:rPr>
              <w:t xml:space="preserve">Orchestration</w:t>
            </w:r>
          </w:p>
        </w:tc>
        <w:tc>
          <w:tcPr>
            <w:tcW w:type="dxa" w:w="3600"/>
            <w:tcMar>
              <w:top w:type="dxa" w:w="90"/>
              <w:left w:type="dxa" w:w="110"/>
              <w:bottom w:type="dxa" w:w="90"/>
              <w:right w:type="dxa" w:w="110"/>
            </w:tcMar>
          </w:tcPr>
          <w:p>
            <w:r>
              <w:rPr>
                <w:b w:val="false"/>
                <w:bCs w:val="false"/>
                <w:color w:val="222222"/>
                <w:sz w:val="19"/>
                <w:szCs w:val="19"/>
              </w:rPr>
              <w:t xml:space="preserve">Custom Python logic + LangChain (LCEL)</w:t>
            </w:r>
          </w:p>
        </w:tc>
        <w:tc>
          <w:tcPr>
            <w:tcW w:type="dxa" w:w="4200"/>
            <w:tcMar>
              <w:top w:type="dxa" w:w="90"/>
              <w:left w:type="dxa" w:w="110"/>
              <w:bottom w:type="dxa" w:w="90"/>
              <w:right w:type="dxa" w:w="110"/>
            </w:tcMar>
          </w:tcPr>
          <w:p>
            <w:r>
              <w:rPr>
                <w:b w:val="false"/>
                <w:bCs w:val="false"/>
                <w:color w:val="222222"/>
                <w:sz w:val="19"/>
                <w:szCs w:val="19"/>
              </w:rPr>
              <w:t xml:space="preserve">Query classification, retrieval, prompt assembly, chain invocation</w:t>
            </w:r>
          </w:p>
        </w:tc>
      </w:tr>
      <w:tr>
        <w:tc>
          <w:tcPr>
            <w:tcW w:type="dxa" w:w="2400"/>
            <w:shd w:fill="EDF1F7" w:val="clear"/>
            <w:tcMar>
              <w:top w:type="dxa" w:w="90"/>
              <w:left w:type="dxa" w:w="110"/>
              <w:bottom w:type="dxa" w:w="90"/>
              <w:right w:type="dxa" w:w="110"/>
            </w:tcMar>
          </w:tcPr>
          <w:p>
            <w:r>
              <w:rPr>
                <w:b w:val="false"/>
                <w:bCs w:val="false"/>
                <w:color w:val="222222"/>
                <w:sz w:val="19"/>
                <w:szCs w:val="19"/>
              </w:rPr>
              <w:t xml:space="preserve">Retrieval / Vector store</w:t>
            </w:r>
          </w:p>
        </w:tc>
        <w:tc>
          <w:tcPr>
            <w:tcW w:type="dxa" w:w="3600"/>
            <w:shd w:fill="EDF1F7" w:val="clear"/>
            <w:tcMar>
              <w:top w:type="dxa" w:w="90"/>
              <w:left w:type="dxa" w:w="110"/>
              <w:bottom w:type="dxa" w:w="90"/>
              <w:right w:type="dxa" w:w="110"/>
            </w:tcMar>
          </w:tcPr>
          <w:p>
            <w:r>
              <w:rPr>
                <w:b w:val="false"/>
                <w:bCs w:val="false"/>
                <w:color w:val="222222"/>
                <w:sz w:val="19"/>
                <w:szCs w:val="19"/>
              </w:rPr>
              <w:t xml:space="preserve">ChromaDB Cloud + OpenAI text-embedding-3-small</w:t>
            </w:r>
          </w:p>
        </w:tc>
        <w:tc>
          <w:tcPr>
            <w:tcW w:type="dxa" w:w="4200"/>
            <w:shd w:fill="EDF1F7" w:val="clear"/>
            <w:tcMar>
              <w:top w:type="dxa" w:w="90"/>
              <w:left w:type="dxa" w:w="110"/>
              <w:bottom w:type="dxa" w:w="90"/>
              <w:right w:type="dxa" w:w="110"/>
            </w:tcMar>
          </w:tcPr>
          <w:p>
            <w:r>
              <w:rPr>
                <w:b w:val="false"/>
                <w:bCs w:val="false"/>
                <w:color w:val="222222"/>
                <w:sz w:val="19"/>
                <w:szCs w:val="19"/>
              </w:rPr>
              <w:t xml:space="preserve">Semantic search over the legal document corpus</w:t>
            </w:r>
          </w:p>
        </w:tc>
      </w:tr>
      <w:tr>
        <w:tc>
          <w:tcPr>
            <w:tcW w:type="dxa" w:w="2400"/>
            <w:tcMar>
              <w:top w:type="dxa" w:w="90"/>
              <w:left w:type="dxa" w:w="110"/>
              <w:bottom w:type="dxa" w:w="90"/>
              <w:right w:type="dxa" w:w="110"/>
            </w:tcMar>
          </w:tcPr>
          <w:p>
            <w:r>
              <w:rPr>
                <w:b w:val="false"/>
                <w:bCs w:val="false"/>
                <w:color w:val="222222"/>
                <w:sz w:val="19"/>
                <w:szCs w:val="19"/>
              </w:rPr>
              <w:t xml:space="preserve">Generation</w:t>
            </w:r>
          </w:p>
        </w:tc>
        <w:tc>
          <w:tcPr>
            <w:tcW w:type="dxa" w:w="3600"/>
            <w:tcMar>
              <w:top w:type="dxa" w:w="90"/>
              <w:left w:type="dxa" w:w="110"/>
              <w:bottom w:type="dxa" w:w="90"/>
              <w:right w:type="dxa" w:w="110"/>
            </w:tcMar>
          </w:tcPr>
          <w:p>
            <w:r>
              <w:rPr>
                <w:b w:val="false"/>
                <w:bCs w:val="false"/>
                <w:color w:val="222222"/>
                <w:sz w:val="19"/>
                <w:szCs w:val="19"/>
              </w:rPr>
              <w:t xml:space="preserve">OpenAI GPT-4 Turbo via LangChain's ChatOpenAI</w:t>
            </w:r>
          </w:p>
        </w:tc>
        <w:tc>
          <w:tcPr>
            <w:tcW w:type="dxa" w:w="4200"/>
            <w:tcMar>
              <w:top w:type="dxa" w:w="90"/>
              <w:left w:type="dxa" w:w="110"/>
              <w:bottom w:type="dxa" w:w="90"/>
              <w:right w:type="dxa" w:w="110"/>
            </w:tcMar>
          </w:tcPr>
          <w:p>
            <w:r>
              <w:rPr>
                <w:b w:val="false"/>
                <w:bCs w:val="false"/>
                <w:color w:val="222222"/>
                <w:sz w:val="19"/>
                <w:szCs w:val="19"/>
              </w:rPr>
              <w:t xml:space="preserve">Natural-language answer generation</w:t>
            </w:r>
          </w:p>
        </w:tc>
      </w:tr>
      <w:tr>
        <w:tc>
          <w:tcPr>
            <w:tcW w:type="dxa" w:w="2400"/>
            <w:shd w:fill="EDF1F7" w:val="clear"/>
            <w:tcMar>
              <w:top w:type="dxa" w:w="90"/>
              <w:left w:type="dxa" w:w="110"/>
              <w:bottom w:type="dxa" w:w="90"/>
              <w:right w:type="dxa" w:w="110"/>
            </w:tcMar>
          </w:tcPr>
          <w:p>
            <w:r>
              <w:rPr>
                <w:b w:val="false"/>
                <w:bCs w:val="false"/>
                <w:color w:val="222222"/>
                <w:sz w:val="19"/>
                <w:szCs w:val="19"/>
              </w:rPr>
              <w:t xml:space="preserve">Moderation</w:t>
            </w:r>
          </w:p>
        </w:tc>
        <w:tc>
          <w:tcPr>
            <w:tcW w:type="dxa" w:w="3600"/>
            <w:shd w:fill="EDF1F7" w:val="clear"/>
            <w:tcMar>
              <w:top w:type="dxa" w:w="90"/>
              <w:left w:type="dxa" w:w="110"/>
              <w:bottom w:type="dxa" w:w="90"/>
              <w:right w:type="dxa" w:w="110"/>
            </w:tcMar>
          </w:tcPr>
          <w:p>
            <w:r>
              <w:rPr>
                <w:b w:val="false"/>
                <w:bCs w:val="false"/>
                <w:color w:val="222222"/>
                <w:sz w:val="19"/>
                <w:szCs w:val="19"/>
              </w:rPr>
              <w:t xml:space="preserve">OpenAI Moderations API</w:t>
            </w:r>
          </w:p>
        </w:tc>
        <w:tc>
          <w:tcPr>
            <w:tcW w:type="dxa" w:w="4200"/>
            <w:shd w:fill="EDF1F7" w:val="clear"/>
            <w:tcMar>
              <w:top w:type="dxa" w:w="90"/>
              <w:left w:type="dxa" w:w="110"/>
              <w:bottom w:type="dxa" w:w="90"/>
              <w:right w:type="dxa" w:w="110"/>
            </w:tcMar>
          </w:tcPr>
          <w:p>
            <w:r>
              <w:rPr>
                <w:b w:val="false"/>
                <w:bCs w:val="false"/>
                <w:color w:val="222222"/>
                <w:sz w:val="19"/>
                <w:szCs w:val="19"/>
              </w:rPr>
              <w:t xml:space="preserve">Screens both the question and the generated answer</w:t>
            </w:r>
          </w:p>
        </w:tc>
      </w:tr>
      <w:tr>
        <w:tc>
          <w:tcPr>
            <w:tcW w:type="dxa" w:w="2400"/>
            <w:tcMar>
              <w:top w:type="dxa" w:w="90"/>
              <w:left w:type="dxa" w:w="110"/>
              <w:bottom w:type="dxa" w:w="90"/>
              <w:right w:type="dxa" w:w="110"/>
            </w:tcMar>
          </w:tcPr>
          <w:p>
            <w:r>
              <w:rPr>
                <w:b w:val="false"/>
                <w:bCs w:val="false"/>
                <w:color w:val="222222"/>
                <w:sz w:val="19"/>
                <w:szCs w:val="19"/>
              </w:rPr>
              <w:t xml:space="preserve">Session store</w:t>
            </w:r>
          </w:p>
        </w:tc>
        <w:tc>
          <w:tcPr>
            <w:tcW w:type="dxa" w:w="3600"/>
            <w:tcMar>
              <w:top w:type="dxa" w:w="90"/>
              <w:left w:type="dxa" w:w="110"/>
              <w:bottom w:type="dxa" w:w="90"/>
              <w:right w:type="dxa" w:w="110"/>
            </w:tcMar>
          </w:tcPr>
          <w:p>
            <w:r>
              <w:rPr>
                <w:b w:val="false"/>
                <w:bCs w:val="false"/>
                <w:color w:val="222222"/>
                <w:sz w:val="19"/>
                <w:szCs w:val="19"/>
              </w:rPr>
              <w:t xml:space="preserve">Upstash Redis (REST-based, serverless)</w:t>
            </w:r>
          </w:p>
        </w:tc>
        <w:tc>
          <w:tcPr>
            <w:tcW w:type="dxa" w:w="4200"/>
            <w:tcMar>
              <w:top w:type="dxa" w:w="90"/>
              <w:left w:type="dxa" w:w="110"/>
              <w:bottom w:type="dxa" w:w="90"/>
              <w:right w:type="dxa" w:w="110"/>
            </w:tcMar>
          </w:tcPr>
          <w:p>
            <w:r>
              <w:rPr>
                <w:b w:val="false"/>
                <w:bCs w:val="false"/>
                <w:color w:val="222222"/>
                <w:sz w:val="19"/>
                <w:szCs w:val="19"/>
              </w:rPr>
              <w:t xml:space="preserve">Short-lived conversational memory keyed by a session cookie</w:t>
            </w:r>
          </w:p>
        </w:tc>
      </w:tr>
      <w:tr>
        <w:tc>
          <w:tcPr>
            <w:tcW w:type="dxa" w:w="2400"/>
            <w:shd w:fill="EDF1F7" w:val="clear"/>
            <w:tcMar>
              <w:top w:type="dxa" w:w="90"/>
              <w:left w:type="dxa" w:w="110"/>
              <w:bottom w:type="dxa" w:w="90"/>
              <w:right w:type="dxa" w:w="110"/>
            </w:tcMar>
          </w:tcPr>
          <w:p>
            <w:r>
              <w:rPr>
                <w:b w:val="false"/>
                <w:bCs w:val="false"/>
                <w:color w:val="222222"/>
                <w:sz w:val="19"/>
                <w:szCs w:val="19"/>
              </w:rPr>
              <w:t xml:space="preserve">Rate limiting</w:t>
            </w:r>
          </w:p>
        </w:tc>
        <w:tc>
          <w:tcPr>
            <w:tcW w:type="dxa" w:w="3600"/>
            <w:shd w:fill="EDF1F7" w:val="clear"/>
            <w:tcMar>
              <w:top w:type="dxa" w:w="90"/>
              <w:left w:type="dxa" w:w="110"/>
              <w:bottom w:type="dxa" w:w="90"/>
              <w:right w:type="dxa" w:w="110"/>
            </w:tcMar>
          </w:tcPr>
          <w:p>
            <w:r>
              <w:rPr>
                <w:b w:val="false"/>
                <w:bCs w:val="false"/>
                <w:color w:val="222222"/>
                <w:sz w:val="19"/>
                <w:szCs w:val="19"/>
              </w:rPr>
              <w:t xml:space="preserve">SlowAPI (built on the `limits` library)</w:t>
            </w:r>
          </w:p>
        </w:tc>
        <w:tc>
          <w:tcPr>
            <w:tcW w:type="dxa" w:w="4200"/>
            <w:shd w:fill="EDF1F7" w:val="clear"/>
            <w:tcMar>
              <w:top w:type="dxa" w:w="90"/>
              <w:left w:type="dxa" w:w="110"/>
              <w:bottom w:type="dxa" w:w="90"/>
              <w:right w:type="dxa" w:w="110"/>
            </w:tcMar>
          </w:tcPr>
          <w:p>
            <w:r>
              <w:rPr>
                <w:b w:val="false"/>
                <w:bCs w:val="false"/>
                <w:color w:val="222222"/>
                <w:sz w:val="19"/>
                <w:szCs w:val="19"/>
              </w:rPr>
              <w:t xml:space="preserve">Per-IP request throttling</w:t>
            </w:r>
          </w:p>
        </w:tc>
      </w:tr>
    </w:tbl>
    <w:p>
      <w:pPr>
        <w:pStyle w:val="Heading2"/>
        <w:spacing w:after="140" w:before="300"/>
      </w:pPr>
      <w:r>
        <w:rPr>
          <w:b/>
          <w:bCs/>
          <w:color w:val="2E5AA8"/>
          <w:sz w:val="24"/>
          <w:szCs w:val="24"/>
        </w:rPr>
        <w:t xml:space="preserve">2.2 Request Lifecycle</w:t>
      </w:r>
    </w:p>
    <w:p>
      <w:pPr>
        <w:spacing w:after="160" w:line="300"/>
      </w:pPr>
      <w:r>
        <w:rPr>
          <w:color w:val="222222"/>
          <w:sz w:val="21"/>
          <w:szCs w:val="21"/>
        </w:rPr>
        <w:t xml:space="preserve">A single call to the chat endpoint moves through the following stages:</w:t>
      </w:r>
    </w:p>
    <w:p>
      <w:pPr>
        <w:pStyle w:val="ListParagraph"/>
        <w:numPr>
          <w:ilvl w:val="0"/>
          <w:numId w:val="3"/>
        </w:numPr>
        <w:spacing w:after="90" w:line="280"/>
      </w:pPr>
      <w:r>
        <w:rPr>
          <w:color w:val="222222"/>
          <w:sz w:val="21"/>
          <w:szCs w:val="21"/>
        </w:rPr>
        <w:t xml:space="preserve">The browser sends the user's message to POST /query, along with the session cookie if one already exists.</w:t>
      </w:r>
    </w:p>
    <w:p>
      <w:pPr>
        <w:pStyle w:val="ListParagraph"/>
        <w:numPr>
          <w:ilvl w:val="0"/>
          <w:numId w:val="3"/>
        </w:numPr>
        <w:spacing w:after="90" w:line="280"/>
      </w:pPr>
      <w:r>
        <w:rPr>
          <w:color w:val="222222"/>
          <w:sz w:val="21"/>
          <w:szCs w:val="21"/>
        </w:rPr>
        <w:t xml:space="preserve">SlowAPI checks the caller's IP address against the configured rate limit before any application code runs.</w:t>
      </w:r>
    </w:p>
    <w:p>
      <w:pPr>
        <w:pStyle w:val="ListParagraph"/>
        <w:numPr>
          <w:ilvl w:val="0"/>
          <w:numId w:val="3"/>
        </w:numPr>
        <w:spacing w:after="90" w:line="280"/>
      </w:pPr>
      <w:r>
        <w:rPr>
          <w:color w:val="222222"/>
          <w:sz w:val="21"/>
          <w:szCs w:val="21"/>
        </w:rPr>
        <w:t xml:space="preserve">The session dependency reads the session cookie, loads (or creates) the corresponding record in Redis, and refreshes its expiry.</w:t>
      </w:r>
    </w:p>
    <w:p>
      <w:pPr>
        <w:pStyle w:val="ListParagraph"/>
        <w:numPr>
          <w:ilvl w:val="0"/>
          <w:numId w:val="3"/>
        </w:numPr>
        <w:spacing w:after="90" w:line="280"/>
      </w:pPr>
      <w:r>
        <w:rPr>
          <w:color w:val="222222"/>
          <w:sz w:val="21"/>
          <w:szCs w:val="21"/>
        </w:rPr>
        <w:t xml:space="preserve">The query is trimmed and length-checked, then sent to the OpenAI Moderations API. Flagged input is rejected with an error before any further processing.</w:t>
      </w:r>
    </w:p>
    <w:p>
      <w:pPr>
        <w:pStyle w:val="ListParagraph"/>
        <w:numPr>
          <w:ilvl w:val="0"/>
          <w:numId w:val="3"/>
        </w:numPr>
        <w:spacing w:after="90" w:line="280"/>
      </w:pPr>
      <w:r>
        <w:rPr>
          <w:color w:val="222222"/>
          <w:sz w:val="21"/>
          <w:szCs w:val="21"/>
        </w:rPr>
        <w:t xml:space="preserve">The query is classified as a greeting, a non-legal request, or a legal question using lightweight keyword and pattern matching (no LLM call is used for this step, to keep it fast and deterministic).</w:t>
      </w:r>
    </w:p>
    <w:p>
      <w:pPr>
        <w:pStyle w:val="ListParagraph"/>
        <w:numPr>
          <w:ilvl w:val="0"/>
          <w:numId w:val="3"/>
        </w:numPr>
        <w:spacing w:after="90" w:line="280"/>
      </w:pPr>
      <w:r>
        <w:rPr>
          <w:color w:val="222222"/>
          <w:sz w:val="21"/>
          <w:szCs w:val="21"/>
        </w:rPr>
        <w:t xml:space="preserve">For legal questions, the system checks whether the wording implies the user wants recent/updated law, then performs a similarity search against the ChromaDB collection.</w:t>
      </w:r>
    </w:p>
    <w:p>
      <w:pPr>
        <w:pStyle w:val="ListParagraph"/>
        <w:numPr>
          <w:ilvl w:val="0"/>
          <w:numId w:val="3"/>
        </w:numPr>
        <w:spacing w:after="90" w:line="280"/>
      </w:pPr>
      <w:r>
        <w:rPr>
          <w:color w:val="222222"/>
          <w:sz w:val="21"/>
          <w:szCs w:val="21"/>
        </w:rPr>
        <w:t xml:space="preserve">Based on the similarity scores returned by ChromaDB, a confidence tier (high / medium / low / none) is assigned and the correct LangChain prompt chain (RAG, hybrid, or fallback) is selected and invoked.</w:t>
      </w:r>
    </w:p>
    <w:p>
      <w:pPr>
        <w:pStyle w:val="ListParagraph"/>
        <w:numPr>
          <w:ilvl w:val="0"/>
          <w:numId w:val="3"/>
        </w:numPr>
        <w:spacing w:after="90" w:line="280"/>
      </w:pPr>
      <w:r>
        <w:rPr>
          <w:color w:val="222222"/>
          <w:sz w:val="21"/>
          <w:szCs w:val="21"/>
        </w:rPr>
        <w:t xml:space="preserve">The generated answer is itself passed back through the Moderations API before being returned to the user.</w:t>
      </w:r>
    </w:p>
    <w:p>
      <w:pPr>
        <w:pStyle w:val="ListParagraph"/>
        <w:numPr>
          <w:ilvl w:val="0"/>
          <w:numId w:val="3"/>
        </w:numPr>
        <w:spacing w:after="90" w:line="280"/>
      </w:pPr>
      <w:r>
        <w:rPr>
          <w:color w:val="222222"/>
          <w:sz w:val="21"/>
          <w:szCs w:val="21"/>
        </w:rPr>
        <w:t xml:space="preserve">The exchange (question, answer, timestamp, mode used) is appended to the session's rolling history in Redis, capped at the five most recent turns, and the response — including cited sources and confidence — is sent back to the browser.</w:t>
      </w:r>
    </w:p>
    <w:p>
      <w:pPr>
        <w:pStyle w:val="Heading1"/>
        <w:pBdr>
          <w:bottom w:val="single" w:color="2E5AA8" w:sz="6" w:space="4"/>
        </w:pBdr>
        <w:spacing w:after="200" w:before="400"/>
      </w:pPr>
      <w:r>
        <w:rPr>
          <w:b/>
          <w:bCs/>
          <w:color w:val="1F2A44"/>
          <w:sz w:val="30"/>
          <w:szCs w:val="30"/>
        </w:rPr>
        <w:t xml:space="preserve">3. Query Understanding &amp; Classification</w:t>
      </w:r>
    </w:p>
    <w:p>
      <w:pPr>
        <w:spacing w:after="160" w:line="300"/>
      </w:pPr>
      <w:r>
        <w:rPr>
          <w:color w:val="222222"/>
          <w:sz w:val="21"/>
          <w:szCs w:val="21"/>
        </w:rPr>
        <w:t xml:space="preserve">Before any retrieval or generation happens, every incoming message is classified into one of three categories. This is done with plain string matching rather than a model call, which keeps the classification step fast, predictable, and free of additional API cost.</w:t>
      </w:r>
    </w:p>
    <w:p>
      <w:pPr>
        <w:pStyle w:val="Heading2"/>
        <w:spacing w:after="140" w:before="300"/>
      </w:pPr>
      <w:r>
        <w:rPr>
          <w:b/>
          <w:bCs/>
          <w:color w:val="2E5AA8"/>
          <w:sz w:val="24"/>
          <w:szCs w:val="24"/>
        </w:rPr>
        <w:t xml:space="preserve">3.1 Categories</w:t>
      </w:r>
    </w:p>
    <w:p>
      <w:pPr>
        <w:pStyle w:val="ListParagraph"/>
        <w:numPr>
          <w:ilvl w:val="0"/>
          <w:numId w:val="2"/>
        </w:numPr>
        <w:spacing w:after="90" w:line="280"/>
      </w:pPr>
      <w:r>
        <w:rPr>
          <w:color w:val="222222"/>
          <w:sz w:val="21"/>
          <w:szCs w:val="21"/>
        </w:rPr>
        <w:t xml:space="preserve">Greeting — the message matches a small set of greeting words ("hi", "hello", "good morning", etc.), or is a very short message (two words or fewer) with no question mark and none of the legal keywords present. Greetings receive a pre-written, randomly chosen welcome message and never reach the language model.</w:t>
      </w:r>
    </w:p>
    <w:p>
      <w:pPr>
        <w:pStyle w:val="ListParagraph"/>
        <w:numPr>
          <w:ilvl w:val="0"/>
          <w:numId w:val="2"/>
        </w:numPr>
        <w:spacing w:after="90" w:line="280"/>
      </w:pPr>
      <w:r>
        <w:rPr>
          <w:color w:val="222222"/>
          <w:sz w:val="21"/>
          <w:szCs w:val="21"/>
        </w:rPr>
        <w:t xml:space="preserve">Non-legal — the message contains a keyword associated with an unrelated topic (weather, sport, recipes, celebrities, cryptocurrency, and similar). These are politely deflected with a fixed response explaining the assistant's scope, again without invoking the language model.</w:t>
      </w:r>
    </w:p>
    <w:p>
      <w:pPr>
        <w:pStyle w:val="ListParagraph"/>
        <w:numPr>
          <w:ilvl w:val="0"/>
          <w:numId w:val="2"/>
        </w:numPr>
        <w:spacing w:after="90" w:line="280"/>
      </w:pPr>
      <w:r>
        <w:rPr>
          <w:color w:val="222222"/>
          <w:sz w:val="21"/>
          <w:szCs w:val="21"/>
        </w:rPr>
        <w:t xml:space="preserve">Legal — anything that does not match the two categories above is treated as a genuine legal question and proceeds to the retrieval and generation pipeline.</w:t>
      </w:r>
    </w:p>
    <w:p>
      <w:pPr>
        <w:spacing w:after="160" w:line="300"/>
      </w:pPr>
      <w:r>
        <w:rPr>
          <w:color w:val="222222"/>
          <w:sz w:val="21"/>
          <w:szCs w:val="21"/>
        </w:rPr>
        <w:t xml:space="preserve">This three-way split protects the OpenAI usage budget (greetings and off-topic chatter never trigger embedding, retrieval, or completion calls) and keeps the assistant firmly scoped to Irish legal topics.</w:t>
      </w:r>
    </w:p>
    <w:p>
      <w:pPr>
        <w:pStyle w:val="Heading2"/>
        <w:spacing w:after="140" w:before="300"/>
      </w:pPr>
      <w:r>
        <w:rPr>
          <w:b/>
          <w:bCs/>
          <w:color w:val="2E5AA8"/>
          <w:sz w:val="24"/>
          <w:szCs w:val="24"/>
        </w:rPr>
        <w:t xml:space="preserve">3.2 Recency Detection</w:t>
      </w:r>
    </w:p>
    <w:p>
      <w:pPr>
        <w:spacing w:after="160" w:line="300"/>
      </w:pPr>
      <w:r>
        <w:rPr>
          <w:color w:val="222222"/>
          <w:sz w:val="21"/>
          <w:szCs w:val="21"/>
        </w:rPr>
        <w:t xml:space="preserve">A second, independent check looks for words that imply the user wants the current or most recently amended version of a law — terms such as "2024", "2025", "latest", "current", "amendment", or "updated". When any of these are present, a short instruction is injected into the prompt telling the model to prioritise the newest legislative provisions found in the retrieved context and to flag it clearly if only older material was available.</w:t>
      </w:r>
    </w:p>
    <w:p>
      <w:pPr>
        <w:pStyle w:val="Heading1"/>
        <w:pBdr>
          <w:bottom w:val="single" w:color="2E5AA8" w:sz="6" w:space="4"/>
        </w:pBdr>
        <w:spacing w:after="200" w:before="400"/>
      </w:pPr>
      <w:r>
        <w:rPr>
          <w:b/>
          <w:bCs/>
          <w:color w:val="1F2A44"/>
          <w:sz w:val="30"/>
          <w:szCs w:val="30"/>
        </w:rPr>
        <w:t xml:space="preserve">4. Retrieval-Augmented Generation (RAG)</w:t>
      </w:r>
    </w:p>
    <w:p>
      <w:pPr>
        <w:pStyle w:val="Heading2"/>
        <w:spacing w:after="140" w:before="300"/>
      </w:pPr>
      <w:r>
        <w:rPr>
          <w:b/>
          <w:bCs/>
          <w:color w:val="2E5AA8"/>
          <w:sz w:val="24"/>
          <w:szCs w:val="24"/>
        </w:rPr>
        <w:t xml:space="preserve">4.1 Embedding &amp; Vector Storage</w:t>
      </w:r>
    </w:p>
    <w:p>
      <w:pPr>
        <w:spacing w:after="160" w:line="300"/>
      </w:pPr>
      <w:r>
        <w:rPr>
          <w:color w:val="222222"/>
          <w:sz w:val="21"/>
          <w:szCs w:val="21"/>
        </w:rPr>
        <w:t xml:space="preserve">Legal source documents are pre-processed and stored as vector embeddings in a ChromaDB Cloud collection. Each query is converted to an embedding using OpenAI's text-embedding-3-small model, and ChromaDB performs a nearest-neighbour similarity search to surface the most semantically relevant passages, along with a distance score for each result. LangChain's Chroma integration handles the embedding call and the search call as a single step.</w:t>
      </w:r>
    </w:p>
    <w:p>
      <w:pPr>
        <w:pStyle w:val="Heading2"/>
        <w:spacing w:after="140" w:before="300"/>
      </w:pPr>
      <w:r>
        <w:rPr>
          <w:b/>
          <w:bCs/>
          <w:color w:val="2E5AA8"/>
          <w:sz w:val="24"/>
          <w:szCs w:val="24"/>
        </w:rPr>
        <w:t xml:space="preserve">4.2 Confidence Scoring</w:t>
      </w:r>
    </w:p>
    <w:p>
      <w:pPr>
        <w:spacing w:after="160" w:line="300"/>
      </w:pPr>
      <w:r>
        <w:rPr>
          <w:color w:val="222222"/>
          <w:sz w:val="21"/>
          <w:szCs w:val="21"/>
        </w:rPr>
        <w:t xml:space="preserve">ChromaDB returns a distance score for every match, where a lower number indicates a closer semantic match. The backend converts the top result's score into a confidence tier using fixed thresholds: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4800"/>
      </w:tblGrid>
      <w:tr>
        <w:trPr>
          <w:tblHeader/>
        </w:trPr>
        <w:tc>
          <w:tcPr>
            <w:tcW w:type="dxa" w:w="3400"/>
            <w:shd w:fill="1F2A44" w:val="clear"/>
            <w:tcMar>
              <w:top w:type="dxa" w:w="90"/>
              <w:left w:type="dxa" w:w="110"/>
              <w:bottom w:type="dxa" w:w="90"/>
              <w:right w:type="dxa" w:w="110"/>
            </w:tcMar>
          </w:tcPr>
          <w:p>
            <w:r>
              <w:rPr>
                <w:b/>
                <w:bCs/>
                <w:color w:val="FFFFFF"/>
                <w:sz w:val="19"/>
                <w:szCs w:val="19"/>
              </w:rPr>
              <w:t xml:space="preserve">Top-result distance score</w:t>
            </w:r>
          </w:p>
        </w:tc>
        <w:tc>
          <w:tcPr>
            <w:tcW w:type="dxa" w:w="2000"/>
            <w:shd w:fill="1F2A44" w:val="clear"/>
            <w:tcMar>
              <w:top w:type="dxa" w:w="90"/>
              <w:left w:type="dxa" w:w="110"/>
              <w:bottom w:type="dxa" w:w="90"/>
              <w:right w:type="dxa" w:w="110"/>
            </w:tcMar>
          </w:tcPr>
          <w:p>
            <w:r>
              <w:rPr>
                <w:b/>
                <w:bCs/>
                <w:color w:val="FFFFFF"/>
                <w:sz w:val="19"/>
                <w:szCs w:val="19"/>
              </w:rPr>
              <w:t xml:space="preserve">Confidence tier</w:t>
            </w:r>
          </w:p>
        </w:tc>
        <w:tc>
          <w:tcPr>
            <w:tcW w:type="dxa" w:w="4800"/>
            <w:shd w:fill="1F2A44" w:val="clear"/>
            <w:tcMar>
              <w:top w:type="dxa" w:w="90"/>
              <w:left w:type="dxa" w:w="110"/>
              <w:bottom w:type="dxa" w:w="90"/>
              <w:right w:type="dxa" w:w="110"/>
            </w:tcMar>
          </w:tcPr>
          <w:p>
            <w:r>
              <w:rPr>
                <w:b/>
                <w:bCs/>
                <w:color w:val="FFFFFF"/>
                <w:sz w:val="19"/>
                <w:szCs w:val="19"/>
              </w:rPr>
              <w:t xml:space="preserve">Behaviour</w:t>
            </w:r>
          </w:p>
        </w:tc>
      </w:tr>
      <w:tr>
        <w:tc>
          <w:tcPr>
            <w:tcW w:type="dxa" w:w="3400"/>
            <w:tcMar>
              <w:top w:type="dxa" w:w="90"/>
              <w:left w:type="dxa" w:w="110"/>
              <w:bottom w:type="dxa" w:w="90"/>
              <w:right w:type="dxa" w:w="110"/>
            </w:tcMar>
          </w:tcPr>
          <w:p>
            <w:r>
              <w:rPr>
                <w:b w:val="false"/>
                <w:bCs w:val="false"/>
                <w:color w:val="222222"/>
                <w:sz w:val="19"/>
                <w:szCs w:val="19"/>
              </w:rPr>
              <w:t xml:space="preserve">&lt; 0.40</w:t>
            </w:r>
          </w:p>
        </w:tc>
        <w:tc>
          <w:tcPr>
            <w:tcW w:type="dxa" w:w="2000"/>
            <w:tcMar>
              <w:top w:type="dxa" w:w="90"/>
              <w:left w:type="dxa" w:w="110"/>
              <w:bottom w:type="dxa" w:w="90"/>
              <w:right w:type="dxa" w:w="110"/>
            </w:tcMar>
          </w:tcPr>
          <w:p>
            <w:r>
              <w:rPr>
                <w:b w:val="false"/>
                <w:bCs w:val="false"/>
                <w:color w:val="222222"/>
                <w:sz w:val="19"/>
                <w:szCs w:val="19"/>
              </w:rPr>
              <w:t xml:space="preserve">High</w:t>
            </w:r>
          </w:p>
        </w:tc>
        <w:tc>
          <w:tcPr>
            <w:tcW w:type="dxa" w:w="4800"/>
            <w:tcMar>
              <w:top w:type="dxa" w:w="90"/>
              <w:left w:type="dxa" w:w="110"/>
              <w:bottom w:type="dxa" w:w="90"/>
              <w:right w:type="dxa" w:w="110"/>
            </w:tcMar>
          </w:tcPr>
          <w:p>
            <w:r>
              <w:rPr>
                <w:b w:val="false"/>
                <w:bCs w:val="false"/>
                <w:color w:val="222222"/>
                <w:sz w:val="19"/>
                <w:szCs w:val="19"/>
              </w:rPr>
              <w:t xml:space="preserve">Answered directly from retrieved context (RAG mode)</w:t>
            </w:r>
          </w:p>
        </w:tc>
      </w:tr>
      <w:tr>
        <w:tc>
          <w:tcPr>
            <w:tcW w:type="dxa" w:w="3400"/>
            <w:shd w:fill="EDF1F7" w:val="clear"/>
            <w:tcMar>
              <w:top w:type="dxa" w:w="90"/>
              <w:left w:type="dxa" w:w="110"/>
              <w:bottom w:type="dxa" w:w="90"/>
              <w:right w:type="dxa" w:w="110"/>
            </w:tcMar>
          </w:tcPr>
          <w:p>
            <w:r>
              <w:rPr>
                <w:b w:val="false"/>
                <w:bCs w:val="false"/>
                <w:color w:val="222222"/>
                <w:sz w:val="19"/>
                <w:szCs w:val="19"/>
              </w:rPr>
              <w:t xml:space="preserve">0.40 – 0.65</w:t>
            </w:r>
          </w:p>
        </w:tc>
        <w:tc>
          <w:tcPr>
            <w:tcW w:type="dxa" w:w="2000"/>
            <w:shd w:fill="EDF1F7" w:val="clear"/>
            <w:tcMar>
              <w:top w:type="dxa" w:w="90"/>
              <w:left w:type="dxa" w:w="110"/>
              <w:bottom w:type="dxa" w:w="90"/>
              <w:right w:type="dxa" w:w="110"/>
            </w:tcMar>
          </w:tcPr>
          <w:p>
            <w:r>
              <w:rPr>
                <w:b w:val="false"/>
                <w:bCs w:val="false"/>
                <w:color w:val="222222"/>
                <w:sz w:val="19"/>
                <w:szCs w:val="19"/>
              </w:rPr>
              <w:t xml:space="preserve">Medium</w:t>
            </w:r>
          </w:p>
        </w:tc>
        <w:tc>
          <w:tcPr>
            <w:tcW w:type="dxa" w:w="4800"/>
            <w:shd w:fill="EDF1F7" w:val="clear"/>
            <w:tcMar>
              <w:top w:type="dxa" w:w="90"/>
              <w:left w:type="dxa" w:w="110"/>
              <w:bottom w:type="dxa" w:w="90"/>
              <w:right w:type="dxa" w:w="110"/>
            </w:tcMar>
          </w:tcPr>
          <w:p>
            <w:r>
              <w:rPr>
                <w:b w:val="false"/>
                <w:bCs w:val="false"/>
                <w:color w:val="222222"/>
                <w:sz w:val="19"/>
                <w:szCs w:val="19"/>
              </w:rPr>
              <w:t xml:space="preserve">Answered directly from retrieved context (RAG mode)</w:t>
            </w:r>
          </w:p>
        </w:tc>
      </w:tr>
      <w:tr>
        <w:tc>
          <w:tcPr>
            <w:tcW w:type="dxa" w:w="3400"/>
            <w:tcMar>
              <w:top w:type="dxa" w:w="90"/>
              <w:left w:type="dxa" w:w="110"/>
              <w:bottom w:type="dxa" w:w="90"/>
              <w:right w:type="dxa" w:w="110"/>
            </w:tcMar>
          </w:tcPr>
          <w:p>
            <w:r>
              <w:rPr>
                <w:b w:val="false"/>
                <w:bCs w:val="false"/>
                <w:color w:val="222222"/>
                <w:sz w:val="19"/>
                <w:szCs w:val="19"/>
              </w:rPr>
              <w:t xml:space="preserve">0.65 – 0.75</w:t>
            </w:r>
          </w:p>
        </w:tc>
        <w:tc>
          <w:tcPr>
            <w:tcW w:type="dxa" w:w="2000"/>
            <w:tcMar>
              <w:top w:type="dxa" w:w="90"/>
              <w:left w:type="dxa" w:w="110"/>
              <w:bottom w:type="dxa" w:w="90"/>
              <w:right w:type="dxa" w:w="110"/>
            </w:tcMar>
          </w:tcPr>
          <w:p>
            <w:r>
              <w:rPr>
                <w:b w:val="false"/>
                <w:bCs w:val="false"/>
                <w:color w:val="222222"/>
                <w:sz w:val="19"/>
                <w:szCs w:val="19"/>
              </w:rPr>
              <w:t xml:space="preserve">Low</w:t>
            </w:r>
          </w:p>
        </w:tc>
        <w:tc>
          <w:tcPr>
            <w:tcW w:type="dxa" w:w="4800"/>
            <w:tcMar>
              <w:top w:type="dxa" w:w="90"/>
              <w:left w:type="dxa" w:w="110"/>
              <w:bottom w:type="dxa" w:w="90"/>
              <w:right w:type="dxa" w:w="110"/>
            </w:tcMar>
          </w:tcPr>
          <w:p>
            <w:r>
              <w:rPr>
                <w:b w:val="false"/>
                <w:bCs w:val="false"/>
                <w:color w:val="222222"/>
                <w:sz w:val="19"/>
                <w:szCs w:val="19"/>
              </w:rPr>
              <w:t xml:space="preserve">Retrieved context is used as partial support, blended with the model's own knowledge (Hybrid mode)</w:t>
            </w:r>
          </w:p>
        </w:tc>
      </w:tr>
      <w:tr>
        <w:tc>
          <w:tcPr>
            <w:tcW w:type="dxa" w:w="3400"/>
            <w:shd w:fill="EDF1F7" w:val="clear"/>
            <w:tcMar>
              <w:top w:type="dxa" w:w="90"/>
              <w:left w:type="dxa" w:w="110"/>
              <w:bottom w:type="dxa" w:w="90"/>
              <w:right w:type="dxa" w:w="110"/>
            </w:tcMar>
          </w:tcPr>
          <w:p>
            <w:r>
              <w:rPr>
                <w:b w:val="false"/>
                <w:bCs w:val="false"/>
                <w:color w:val="222222"/>
                <w:sz w:val="19"/>
                <w:szCs w:val="19"/>
              </w:rPr>
              <w:t xml:space="preserve">≥ 0.75 (or no results)</w:t>
            </w:r>
          </w:p>
        </w:tc>
        <w:tc>
          <w:tcPr>
            <w:tcW w:type="dxa" w:w="2000"/>
            <w:shd w:fill="EDF1F7" w:val="clear"/>
            <w:tcMar>
              <w:top w:type="dxa" w:w="90"/>
              <w:left w:type="dxa" w:w="110"/>
              <w:bottom w:type="dxa" w:w="90"/>
              <w:right w:type="dxa" w:w="110"/>
            </w:tcMar>
          </w:tcPr>
          <w:p>
            <w:r>
              <w:rPr>
                <w:b w:val="false"/>
                <w:bCs w:val="false"/>
                <w:color w:val="222222"/>
                <w:sz w:val="19"/>
                <w:szCs w:val="19"/>
              </w:rPr>
              <w:t xml:space="preserve">None</w:t>
            </w:r>
          </w:p>
        </w:tc>
        <w:tc>
          <w:tcPr>
            <w:tcW w:type="dxa" w:w="4800"/>
            <w:shd w:fill="EDF1F7" w:val="clear"/>
            <w:tcMar>
              <w:top w:type="dxa" w:w="90"/>
              <w:left w:type="dxa" w:w="110"/>
              <w:bottom w:type="dxa" w:w="90"/>
              <w:right w:type="dxa" w:w="110"/>
            </w:tcMar>
          </w:tcPr>
          <w:p>
            <w:r>
              <w:rPr>
                <w:b w:val="false"/>
                <w:bCs w:val="false"/>
                <w:color w:val="222222"/>
                <w:sz w:val="19"/>
                <w:szCs w:val="19"/>
              </w:rPr>
              <w:t xml:space="preserve">Retrieved context is discarded; the model answers from general legal knowledge and says so (Fallback mode)</w:t>
            </w:r>
          </w:p>
        </w:tc>
      </w:tr>
    </w:tbl>
    <w:p>
      <w:pPr>
        <w:spacing w:after="160" w:line="300"/>
      </w:pPr>
      <w:r>
        <w:rPr>
          <w:color w:val="222222"/>
          <w:sz w:val="21"/>
          <w:szCs w:val="21"/>
        </w:rPr>
        <w:t xml:space="preserve">Each of the top results retrieved (seven by default, controlled by the TOP_K setting) is also individually labelled High/Medium/Low relevance and passed to the model with its own score, so the model can weigh conflicting or partially relevant sources rather than treating every retrieved chunk as equally authoritative.</w:t>
      </w:r>
    </w:p>
    <w:p>
      <w:pPr>
        <w:pStyle w:val="Heading2"/>
        <w:spacing w:after="140" w:before="300"/>
      </w:pPr>
      <w:r>
        <w:rPr>
          <w:b/>
          <w:bCs/>
          <w:color w:val="2E5AA8"/>
          <w:sz w:val="24"/>
          <w:szCs w:val="24"/>
        </w:rPr>
        <w:t xml:space="preserve">4.3 Year Extraction</w:t>
      </w:r>
    </w:p>
    <w:p>
      <w:pPr>
        <w:spacing w:after="160" w:line="300"/>
      </w:pPr>
      <w:r>
        <w:rPr>
          <w:color w:val="222222"/>
          <w:sz w:val="21"/>
          <w:szCs w:val="21"/>
        </w:rPr>
        <w:t xml:space="preserve">A simple regular expression scans every retrieved passage for four-digit years between 1980 and 2029. This produces a list of the years referenced in the supporting material, which is used together with the recency check described above to help the model recognise when it is looking at outdated legislation.</w:t>
      </w:r>
    </w:p>
    <w:p>
      <w:pPr>
        <w:pStyle w:val="Heading2"/>
        <w:spacing w:after="140" w:before="300"/>
      </w:pPr>
      <w:r>
        <w:rPr>
          <w:b/>
          <w:bCs/>
          <w:color w:val="2E5AA8"/>
          <w:sz w:val="24"/>
          <w:szCs w:val="24"/>
        </w:rPr>
        <w:t xml:space="preserve">4.4 Answer Modes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5200"/>
      </w:tblGrid>
      <w:tr>
        <w:trPr>
          <w:tblHeader/>
        </w:trPr>
        <w:tc>
          <w:tcPr>
            <w:tcW w:type="dxa" w:w="1800"/>
            <w:shd w:fill="1F2A44" w:val="clear"/>
            <w:tcMar>
              <w:top w:type="dxa" w:w="90"/>
              <w:left w:type="dxa" w:w="110"/>
              <w:bottom w:type="dxa" w:w="90"/>
              <w:right w:type="dxa" w:w="110"/>
            </w:tcMar>
          </w:tcPr>
          <w:p>
            <w:r>
              <w:rPr>
                <w:b/>
                <w:bCs/>
                <w:color w:val="FFFFFF"/>
                <w:sz w:val="19"/>
                <w:szCs w:val="19"/>
              </w:rPr>
              <w:t xml:space="preserve">Mode</w:t>
            </w:r>
          </w:p>
        </w:tc>
        <w:tc>
          <w:tcPr>
            <w:tcW w:type="dxa" w:w="3200"/>
            <w:shd w:fill="1F2A44" w:val="clear"/>
            <w:tcMar>
              <w:top w:type="dxa" w:w="90"/>
              <w:left w:type="dxa" w:w="110"/>
              <w:bottom w:type="dxa" w:w="90"/>
              <w:right w:type="dxa" w:w="110"/>
            </w:tcMar>
          </w:tcPr>
          <w:p>
            <w:r>
              <w:rPr>
                <w:b/>
                <w:bCs/>
                <w:color w:val="FFFFFF"/>
                <w:sz w:val="19"/>
                <w:szCs w:val="19"/>
              </w:rPr>
              <w:t xml:space="preserve">Trigger</w:t>
            </w:r>
          </w:p>
        </w:tc>
        <w:tc>
          <w:tcPr>
            <w:tcW w:type="dxa" w:w="5200"/>
            <w:shd w:fill="1F2A44" w:val="clear"/>
            <w:tcMar>
              <w:top w:type="dxa" w:w="90"/>
              <w:left w:type="dxa" w:w="110"/>
              <w:bottom w:type="dxa" w:w="90"/>
              <w:right w:type="dxa" w:w="110"/>
            </w:tcMar>
          </w:tcPr>
          <w:p>
            <w:r>
              <w:rPr>
                <w:b/>
                <w:bCs/>
                <w:color w:val="FFFFFF"/>
                <w:sz w:val="19"/>
                <w:szCs w:val="19"/>
              </w:rPr>
              <w:t xml:space="preserve">Prompt used</w:t>
            </w:r>
          </w:p>
        </w:tc>
      </w:tr>
      <w:tr>
        <w:tc>
          <w:tcPr>
            <w:tcW w:type="dxa" w:w="1800"/>
            <w:tcMar>
              <w:top w:type="dxa" w:w="90"/>
              <w:left w:type="dxa" w:w="110"/>
              <w:bottom w:type="dxa" w:w="90"/>
              <w:right w:type="dxa" w:w="110"/>
            </w:tcMar>
          </w:tcPr>
          <w:p>
            <w:r>
              <w:rPr>
                <w:b w:val="false"/>
                <w:bCs w:val="false"/>
                <w:color w:val="222222"/>
                <w:sz w:val="19"/>
                <w:szCs w:val="19"/>
              </w:rPr>
              <w:t xml:space="preserve">RAG</w:t>
            </w:r>
          </w:p>
        </w:tc>
        <w:tc>
          <w:tcPr>
            <w:tcW w:type="dxa" w:w="3200"/>
            <w:tcMar>
              <w:top w:type="dxa" w:w="90"/>
              <w:left w:type="dxa" w:w="110"/>
              <w:bottom w:type="dxa" w:w="90"/>
              <w:right w:type="dxa" w:w="110"/>
            </w:tcMar>
          </w:tcPr>
          <w:p>
            <w:r>
              <w:rPr>
                <w:b w:val="false"/>
                <w:bCs w:val="false"/>
                <w:color w:val="222222"/>
                <w:sz w:val="19"/>
                <w:szCs w:val="19"/>
              </w:rPr>
              <w:t xml:space="preserve">Confidence is High or Medium</w:t>
            </w:r>
          </w:p>
        </w:tc>
        <w:tc>
          <w:tcPr>
            <w:tcW w:type="dxa" w:w="5200"/>
            <w:tcMar>
              <w:top w:type="dxa" w:w="90"/>
              <w:left w:type="dxa" w:w="110"/>
              <w:bottom w:type="dxa" w:w="90"/>
              <w:right w:type="dxa" w:w="110"/>
            </w:tcMar>
          </w:tcPr>
          <w:p>
            <w:r>
              <w:rPr>
                <w:b w:val="false"/>
                <w:bCs w:val="false"/>
                <w:color w:val="222222"/>
                <w:sz w:val="19"/>
                <w:szCs w:val="19"/>
              </w:rPr>
              <w:t xml:space="preserve">RAG_PROMPT — answers strictly grounded in retrieved context</w:t>
            </w:r>
          </w:p>
        </w:tc>
      </w:tr>
      <w:tr>
        <w:tc>
          <w:tcPr>
            <w:tcW w:type="dxa" w:w="1800"/>
            <w:shd w:fill="EDF1F7" w:val="clear"/>
            <w:tcMar>
              <w:top w:type="dxa" w:w="90"/>
              <w:left w:type="dxa" w:w="110"/>
              <w:bottom w:type="dxa" w:w="90"/>
              <w:right w:type="dxa" w:w="110"/>
            </w:tcMar>
          </w:tcPr>
          <w:p>
            <w:r>
              <w:rPr>
                <w:b w:val="false"/>
                <w:bCs w:val="false"/>
                <w:color w:val="222222"/>
                <w:sz w:val="19"/>
                <w:szCs w:val="19"/>
              </w:rPr>
              <w:t xml:space="preserve">Hybrid</w:t>
            </w:r>
          </w:p>
        </w:tc>
        <w:tc>
          <w:tcPr>
            <w:tcW w:type="dxa" w:w="3200"/>
            <w:shd w:fill="EDF1F7" w:val="clear"/>
            <w:tcMar>
              <w:top w:type="dxa" w:w="90"/>
              <w:left w:type="dxa" w:w="110"/>
              <w:bottom w:type="dxa" w:w="90"/>
              <w:right w:type="dxa" w:w="110"/>
            </w:tcMar>
          </w:tcPr>
          <w:p>
            <w:r>
              <w:rPr>
                <w:b w:val="false"/>
                <w:bCs w:val="false"/>
                <w:color w:val="222222"/>
                <w:sz w:val="19"/>
                <w:szCs w:val="19"/>
              </w:rPr>
              <w:t xml:space="preserve">Confidence is Low</w:t>
            </w:r>
          </w:p>
        </w:tc>
        <w:tc>
          <w:tcPr>
            <w:tcW w:type="dxa" w:w="5200"/>
            <w:shd w:fill="EDF1F7" w:val="clear"/>
            <w:tcMar>
              <w:top w:type="dxa" w:w="90"/>
              <w:left w:type="dxa" w:w="110"/>
              <w:bottom w:type="dxa" w:w="90"/>
              <w:right w:type="dxa" w:w="110"/>
            </w:tcMar>
          </w:tcPr>
          <w:p>
            <w:r>
              <w:rPr>
                <w:b w:val="false"/>
                <w:bCs w:val="false"/>
                <w:color w:val="222222"/>
                <w:sz w:val="19"/>
                <w:szCs w:val="19"/>
              </w:rPr>
              <w:t xml:space="preserve">FALLBACK_PROMPT with the partial context included — blends retrieved snippets with model knowledge</w:t>
            </w:r>
          </w:p>
        </w:tc>
      </w:tr>
      <w:tr>
        <w:tc>
          <w:tcPr>
            <w:tcW w:type="dxa" w:w="1800"/>
            <w:tcMar>
              <w:top w:type="dxa" w:w="90"/>
              <w:left w:type="dxa" w:w="110"/>
              <w:bottom w:type="dxa" w:w="90"/>
              <w:right w:type="dxa" w:w="110"/>
            </w:tcMar>
          </w:tcPr>
          <w:p>
            <w:r>
              <w:rPr>
                <w:b w:val="false"/>
                <w:bCs w:val="false"/>
                <w:color w:val="222222"/>
                <w:sz w:val="19"/>
                <w:szCs w:val="19"/>
              </w:rPr>
              <w:t xml:space="preserve">Fallback</w:t>
            </w:r>
          </w:p>
        </w:tc>
        <w:tc>
          <w:tcPr>
            <w:tcW w:type="dxa" w:w="3200"/>
            <w:tcMar>
              <w:top w:type="dxa" w:w="90"/>
              <w:left w:type="dxa" w:w="110"/>
              <w:bottom w:type="dxa" w:w="90"/>
              <w:right w:type="dxa" w:w="110"/>
            </w:tcMar>
          </w:tcPr>
          <w:p>
            <w:r>
              <w:rPr>
                <w:b w:val="false"/>
                <w:bCs w:val="false"/>
                <w:color w:val="222222"/>
                <w:sz w:val="19"/>
                <w:szCs w:val="19"/>
              </w:rPr>
              <w:t xml:space="preserve">Confidence is None (no usable match)</w:t>
            </w:r>
          </w:p>
        </w:tc>
        <w:tc>
          <w:tcPr>
            <w:tcW w:type="dxa" w:w="5200"/>
            <w:tcMar>
              <w:top w:type="dxa" w:w="90"/>
              <w:left w:type="dxa" w:w="110"/>
              <w:bottom w:type="dxa" w:w="90"/>
              <w:right w:type="dxa" w:w="110"/>
            </w:tcMar>
          </w:tcPr>
          <w:p>
            <w:r>
              <w:rPr>
                <w:b w:val="false"/>
                <w:bCs w:val="false"/>
                <w:color w:val="222222"/>
                <w:sz w:val="19"/>
                <w:szCs w:val="19"/>
              </w:rPr>
              <w:t xml:space="preserve">FALLBACK_PROMPT with context replaced by an explicit "no relevant context found" notice</w:t>
            </w:r>
          </w:p>
        </w:tc>
      </w:tr>
    </w:tbl>
    <w:p>
      <w:pPr>
        <w:pStyle w:val="Heading1"/>
        <w:pBdr>
          <w:bottom w:val="single" w:color="2E5AA8" w:sz="6" w:space="4"/>
        </w:pBdr>
        <w:spacing w:after="200" w:before="400"/>
      </w:pPr>
      <w:r>
        <w:rPr>
          <w:b/>
          <w:bCs/>
          <w:color w:val="1F2A44"/>
          <w:sz w:val="30"/>
          <w:szCs w:val="30"/>
        </w:rPr>
        <w:t xml:space="preserve">5. Prompt Engineering</w:t>
      </w:r>
    </w:p>
    <w:p>
      <w:pPr>
        <w:spacing w:after="160" w:line="300"/>
      </w:pPr>
      <w:r>
        <w:rPr>
          <w:color w:val="222222"/>
          <w:sz w:val="21"/>
          <w:szCs w:val="21"/>
        </w:rPr>
        <w:t xml:space="preserve">The system uses two hand-written prompt templates, composed with LangChain Expression Language (LCEL) into reusable chains: prompt → chat model → string output parser. Both prompts deliberately avoid rigid, templated section headers (such as "DIRECT ANSWER" / "LEGAL BASIS") in favour of natural, flowing prose, so that responses read like something a knowledgeable person would actually write rather than a form letter.</w:t>
      </w:r>
    </w:p>
    <w:p>
      <w:pPr>
        <w:pStyle w:val="Heading2"/>
        <w:spacing w:after="140" w:before="300"/>
      </w:pPr>
      <w:r>
        <w:rPr>
          <w:b/>
          <w:bCs/>
          <w:color w:val="2E5AA8"/>
          <w:sz w:val="24"/>
          <w:szCs w:val="24"/>
        </w:rPr>
        <w:t xml:space="preserve">5.1 RAG Prompt</w:t>
      </w:r>
    </w:p>
    <w:p>
      <w:pPr>
        <w:spacing w:after="160" w:line="300"/>
      </w:pPr>
      <w:r>
        <w:rPr>
          <w:color w:val="222222"/>
          <w:sz w:val="21"/>
          <w:szCs w:val="21"/>
        </w:rPr>
        <w:t xml:space="preserve">Used when retrieval confidence is high or medium. Instructs the model to:</w:t>
      </w:r>
    </w:p>
    <w:p>
      <w:pPr>
        <w:pStyle w:val="ListParagraph"/>
        <w:numPr>
          <w:ilvl w:val="0"/>
          <w:numId w:val="2"/>
        </w:numPr>
        <w:spacing w:after="90" w:line="280"/>
      </w:pPr>
      <w:r>
        <w:rPr>
          <w:color w:val="222222"/>
          <w:sz w:val="21"/>
          <w:szCs w:val="21"/>
        </w:rPr>
        <w:t xml:space="preserve">Treat the retrieved legal context as evidence rather than something to copy verbatim.</w:t>
      </w:r>
    </w:p>
    <w:p>
      <w:pPr>
        <w:pStyle w:val="ListParagraph"/>
        <w:numPr>
          <w:ilvl w:val="0"/>
          <w:numId w:val="2"/>
        </w:numPr>
        <w:spacing w:after="90" w:line="280"/>
      </w:pPr>
      <w:r>
        <w:rPr>
          <w:color w:val="222222"/>
          <w:sz w:val="21"/>
          <w:szCs w:val="21"/>
        </w:rPr>
        <w:t xml:space="preserve">Answer the specific angle the user asked about (penalties, exceptions, procedural steps, etc.) rather than giving a generic overview.</w:t>
      </w:r>
    </w:p>
    <w:p>
      <w:pPr>
        <w:pStyle w:val="ListParagraph"/>
        <w:numPr>
          <w:ilvl w:val="0"/>
          <w:numId w:val="2"/>
        </w:numPr>
        <w:spacing w:after="90" w:line="280"/>
      </w:pPr>
      <w:r>
        <w:rPr>
          <w:color w:val="222222"/>
          <w:sz w:val="21"/>
          <w:szCs w:val="21"/>
        </w:rPr>
        <w:t xml:space="preserve">Cite relevant Acts or case law when it strengthens the answer.</w:t>
      </w:r>
    </w:p>
    <w:p>
      <w:pPr>
        <w:pStyle w:val="ListParagraph"/>
        <w:numPr>
          <w:ilvl w:val="0"/>
          <w:numId w:val="2"/>
        </w:numPr>
        <w:spacing w:after="90" w:line="280"/>
      </w:pPr>
      <w:r>
        <w:rPr>
          <w:color w:val="222222"/>
          <w:sz w:val="21"/>
          <w:szCs w:val="21"/>
        </w:rPr>
        <w:t xml:space="preserve">Adjust length and structure to the complexity of the question — short answers for simple questions, paragraphs or bullet points for complex ones.</w:t>
      </w:r>
    </w:p>
    <w:p>
      <w:pPr>
        <w:pStyle w:val="ListParagraph"/>
        <w:numPr>
          <w:ilvl w:val="0"/>
          <w:numId w:val="2"/>
        </w:numPr>
        <w:spacing w:after="90" w:line="280"/>
      </w:pPr>
      <w:r>
        <w:rPr>
          <w:color w:val="222222"/>
          <w:sz w:val="21"/>
          <w:szCs w:val="21"/>
        </w:rPr>
        <w:t xml:space="preserve">Close with a practical next step or a clarifying follow-up question where appropriate.</w:t>
      </w:r>
    </w:p>
    <w:p>
      <w:pPr>
        <w:pStyle w:val="Heading2"/>
        <w:spacing w:after="140" w:before="300"/>
      </w:pPr>
      <w:r>
        <w:rPr>
          <w:b/>
          <w:bCs/>
          <w:color w:val="2E5AA8"/>
          <w:sz w:val="24"/>
          <w:szCs w:val="24"/>
        </w:rPr>
        <w:t xml:space="preserve">5.2 Fallback / Hybrid Prompt</w:t>
      </w:r>
    </w:p>
    <w:p>
      <w:pPr>
        <w:spacing w:after="160" w:line="300"/>
      </w:pPr>
      <w:r>
        <w:rPr>
          <w:color w:val="222222"/>
          <w:sz w:val="21"/>
          <w:szCs w:val="21"/>
        </w:rPr>
        <w:t xml:space="preserve">Used for hybrid and fallback modes. It explicitly tells the model that the internal database could not fully answer the question and asks it to rely on its general knowledge of Irish law, while citing legislation or EU regulations where it is confident of them, and explicitly flagging uncertainty with a suggestion to verify against an official source such as citizensinformation.ie.</w:t>
      </w:r>
    </w:p>
    <w:p>
      <w:pPr>
        <w:pStyle w:val="Heading2"/>
        <w:spacing w:after="140" w:before="300"/>
      </w:pPr>
      <w:r>
        <w:rPr>
          <w:b/>
          <w:bCs/>
          <w:color w:val="2E5AA8"/>
          <w:sz w:val="24"/>
          <w:szCs w:val="24"/>
        </w:rPr>
        <w:t xml:space="preserve">5.3 Recency Supplement</w:t>
      </w:r>
    </w:p>
    <w:p>
      <w:pPr>
        <w:spacing w:after="160" w:line="300"/>
      </w:pPr>
      <w:r>
        <w:rPr>
          <w:color w:val="222222"/>
          <w:sz w:val="21"/>
          <w:szCs w:val="21"/>
        </w:rPr>
        <w:t xml:space="preserve">When the recency check (Section 3.2) fires, a short warning block is prepended to the context section of whichever prompt is used, instructing the model to prefer the most recently dated material in the retrieved context and to be explicit if only older information is available.</w:t>
      </w:r>
    </w:p>
    <w:p>
      <w:pPr>
        <w:pStyle w:val="Heading2"/>
        <w:spacing w:after="140" w:before="300"/>
      </w:pPr>
      <w:r>
        <w:rPr>
          <w:b/>
          <w:bCs/>
          <w:color w:val="2E5AA8"/>
          <w:sz w:val="24"/>
          <w:szCs w:val="24"/>
        </w:rPr>
        <w:t xml:space="preserve">5.4 Conversation History Injection</w:t>
      </w:r>
    </w:p>
    <w:p>
      <w:pPr>
        <w:spacing w:after="160" w:line="300"/>
      </w:pPr>
      <w:r>
        <w:rPr>
          <w:color w:val="222222"/>
          <w:sz w:val="21"/>
          <w:szCs w:val="21"/>
        </w:rPr>
        <w:t xml:space="preserve">The last three question/answer pairs from the user's session are formatted as plain text ("User: ... / Assistant: ...") and included in every prompt, giving the model short-term conversational memory without requiring a persistent account or a much larger context window.</w:t>
      </w:r>
    </w:p>
    <w:p>
      <w:pPr>
        <w:pStyle w:val="Heading1"/>
        <w:pBdr>
          <w:bottom w:val="single" w:color="2E5AA8" w:sz="6" w:space="4"/>
        </w:pBdr>
        <w:spacing w:after="200" w:before="400"/>
      </w:pPr>
      <w:r>
        <w:rPr>
          <w:b/>
          <w:bCs/>
          <w:color w:val="1F2A44"/>
          <w:sz w:val="30"/>
          <w:szCs w:val="30"/>
        </w:rPr>
        <w:t xml:space="preserve">6. Session Management</w:t>
      </w:r>
    </w:p>
    <w:p>
      <w:pPr>
        <w:spacing w:after="160" w:line="300"/>
      </w:pPr>
      <w:r>
        <w:rPr>
          <w:color w:val="222222"/>
          <w:sz w:val="21"/>
          <w:szCs w:val="21"/>
        </w:rPr>
        <w:t xml:space="preserve">The application is stateless at the HTTP layer but stateful at the session layer, using a signed, HTTP-only cookie (session_id) combined with a Redis-backed record.</w:t>
      </w:r>
    </w:p>
    <w:p>
      <w:pPr>
        <w:pStyle w:val="Heading2"/>
        <w:spacing w:after="140" w:before="300"/>
      </w:pPr>
      <w:r>
        <w:rPr>
          <w:b/>
          <w:bCs/>
          <w:color w:val="2E5AA8"/>
          <w:sz w:val="24"/>
          <w:szCs w:val="24"/>
        </w:rPr>
        <w:t xml:space="preserve">6.1 Cookie Design</w:t>
      </w:r>
    </w:p>
    <w:p>
      <w:pPr>
        <w:pStyle w:val="ListParagraph"/>
        <w:numPr>
          <w:ilvl w:val="0"/>
          <w:numId w:val="2"/>
        </w:numPr>
        <w:spacing w:after="90" w:line="280"/>
      </w:pPr>
      <w:r>
        <w:rPr>
          <w:color w:val="222222"/>
          <w:sz w:val="21"/>
          <w:szCs w:val="21"/>
        </w:rPr>
        <w:t xml:space="preserve">HttpOnly — not readable by client-side JavaScript, reducing exposure to cross-site scripting.</w:t>
      </w:r>
    </w:p>
    <w:p>
      <w:pPr>
        <w:pStyle w:val="ListParagraph"/>
        <w:numPr>
          <w:ilvl w:val="0"/>
          <w:numId w:val="2"/>
        </w:numPr>
        <w:spacing w:after="90" w:line="280"/>
      </w:pPr>
      <w:r>
        <w:rPr>
          <w:color w:val="222222"/>
          <w:sz w:val="21"/>
          <w:szCs w:val="21"/>
        </w:rPr>
        <w:t xml:space="preserve">Secure — only transmitted over HTTPS.</w:t>
      </w:r>
    </w:p>
    <w:p>
      <w:pPr>
        <w:pStyle w:val="ListParagraph"/>
        <w:numPr>
          <w:ilvl w:val="0"/>
          <w:numId w:val="2"/>
        </w:numPr>
        <w:spacing w:after="90" w:line="280"/>
      </w:pPr>
      <w:r>
        <w:rPr>
          <w:color w:val="222222"/>
          <w:sz w:val="21"/>
          <w:szCs w:val="21"/>
        </w:rPr>
        <w:t xml:space="preserve">SameSite=None — deliberately permissive to support the chat widget being embedded across origins; this requires the Secure flag and should only be used behind HTTPS.</w:t>
      </w:r>
    </w:p>
    <w:p>
      <w:pPr>
        <w:pStyle w:val="ListParagraph"/>
        <w:numPr>
          <w:ilvl w:val="0"/>
          <w:numId w:val="2"/>
        </w:numPr>
        <w:spacing w:after="90" w:line="280"/>
      </w:pPr>
      <w:r>
        <w:rPr>
          <w:color w:val="222222"/>
          <w:sz w:val="21"/>
          <w:szCs w:val="21"/>
        </w:rPr>
        <w:t xml:space="preserve">A UUID4 value generated with Python's uuid module, used only as an opaque lookup key — it carries no personal information itself.</w:t>
      </w:r>
    </w:p>
    <w:p>
      <w:pPr>
        <w:pStyle w:val="Heading2"/>
        <w:spacing w:after="140" w:before="300"/>
      </w:pPr>
      <w:r>
        <w:rPr>
          <w:b/>
          <w:bCs/>
          <w:color w:val="2E5AA8"/>
          <w:sz w:val="24"/>
          <w:szCs w:val="24"/>
        </w:rPr>
        <w:t xml:space="preserve">6.2 Redis Record</w:t>
      </w:r>
    </w:p>
    <w:p>
      <w:pPr>
        <w:spacing w:after="160" w:line="300"/>
      </w:pPr>
      <w:r>
        <w:rPr>
          <w:color w:val="222222"/>
          <w:sz w:val="21"/>
          <w:szCs w:val="21"/>
        </w:rPr>
        <w:t xml:space="preserve">Each session is stored in Upstash Redis (a REST-based, serverless-friendly Redis service) as a JSON document containing the session ID, creation time, expiry time, last-activity time, and a rolling history list capped at five exchanges. The record's TTL is set with SETEX and is refreshed on every read, giving a sliding expiration window of 30 minutes of inactivity by default (SESSION_TIMEOUT_MIN).</w:t>
      </w:r>
    </w:p>
    <w:p>
      <w:pPr>
        <w:pStyle w:val="Heading2"/>
        <w:spacing w:after="140" w:before="300"/>
      </w:pPr>
      <w:r>
        <w:rPr>
          <w:b/>
          <w:bCs/>
          <w:color w:val="2E5AA8"/>
          <w:sz w:val="24"/>
          <w:szCs w:val="24"/>
        </w:rPr>
        <w:t xml:space="preserve">6.3 Session Endpoints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800"/>
      </w:tblGrid>
      <w:tr>
        <w:trPr>
          <w:tblHeader/>
        </w:trPr>
        <w:tc>
          <w:tcPr>
            <w:tcW w:type="dxa" w:w="3600"/>
            <w:shd w:fill="1F2A44" w:val="clear"/>
            <w:tcMar>
              <w:top w:type="dxa" w:w="90"/>
              <w:left w:type="dxa" w:w="110"/>
              <w:bottom w:type="dxa" w:w="90"/>
              <w:right w:type="dxa" w:w="110"/>
            </w:tcMar>
          </w:tcPr>
          <w:p>
            <w:r>
              <w:rPr>
                <w:b/>
                <w:bCs/>
                <w:color w:val="FFFFFF"/>
                <w:sz w:val="19"/>
                <w:szCs w:val="19"/>
              </w:rPr>
              <w:t xml:space="preserve">Endpoint</w:t>
            </w:r>
          </w:p>
        </w:tc>
        <w:tc>
          <w:tcPr>
            <w:tcW w:type="dxa" w:w="1800"/>
            <w:shd w:fill="1F2A44" w:val="clear"/>
            <w:tcMar>
              <w:top w:type="dxa" w:w="90"/>
              <w:left w:type="dxa" w:w="110"/>
              <w:bottom w:type="dxa" w:w="90"/>
              <w:right w:type="dxa" w:w="110"/>
            </w:tcMar>
          </w:tcPr>
          <w:p>
            <w:r>
              <w:rPr>
                <w:b/>
                <w:bCs/>
                <w:color w:val="FFFFFF"/>
                <w:sz w:val="19"/>
                <w:szCs w:val="19"/>
              </w:rPr>
              <w:t xml:space="preserve">Method</w:t>
            </w:r>
          </w:p>
        </w:tc>
        <w:tc>
          <w:tcPr>
            <w:tcW w:type="dxa" w:w="4800"/>
            <w:shd w:fill="1F2A44" w:val="clear"/>
            <w:tcMar>
              <w:top w:type="dxa" w:w="90"/>
              <w:left w:type="dxa" w:w="110"/>
              <w:bottom w:type="dxa" w:w="90"/>
              <w:right w:type="dxa" w:w="110"/>
            </w:tcMar>
          </w:tcPr>
          <w:p>
            <w:r>
              <w:rPr>
                <w:b/>
                <w:bCs/>
                <w:color w:val="FFFFFF"/>
                <w:sz w:val="19"/>
                <w:szCs w:val="19"/>
              </w:rPr>
              <w:t xml:space="preserve">Purpose</w:t>
            </w:r>
          </w:p>
        </w:tc>
      </w:tr>
      <w:tr>
        <w:tc>
          <w:tcPr>
            <w:tcW w:type="dxa" w:w="3600"/>
            <w:tcMar>
              <w:top w:type="dxa" w:w="90"/>
              <w:left w:type="dxa" w:w="110"/>
              <w:bottom w:type="dxa" w:w="90"/>
              <w:right w:type="dxa" w:w="110"/>
            </w:tcMar>
          </w:tcPr>
          <w:p>
            <w:r>
              <w:rPr>
                <w:b w:val="false"/>
                <w:bCs w:val="false"/>
                <w:color w:val="222222"/>
                <w:sz w:val="19"/>
                <w:szCs w:val="19"/>
              </w:rPr>
              <w:t xml:space="preserve">/session/status</w:t>
            </w:r>
          </w:p>
        </w:tc>
        <w:tc>
          <w:tcPr>
            <w:tcW w:type="dxa" w:w="1800"/>
            <w:tcMar>
              <w:top w:type="dxa" w:w="90"/>
              <w:left w:type="dxa" w:w="110"/>
              <w:bottom w:type="dxa" w:w="90"/>
              <w:right w:type="dxa" w:w="110"/>
            </w:tcMar>
          </w:tcPr>
          <w:p>
            <w:r>
              <w:rPr>
                <w:b w:val="false"/>
                <w:bCs w:val="false"/>
                <w:color w:val="222222"/>
                <w:sz w:val="19"/>
                <w:szCs w:val="19"/>
              </w:rPr>
              <w:t xml:space="preserve">GET</w:t>
            </w:r>
          </w:p>
        </w:tc>
        <w:tc>
          <w:tcPr>
            <w:tcW w:type="dxa" w:w="4800"/>
            <w:tcMar>
              <w:top w:type="dxa" w:w="90"/>
              <w:left w:type="dxa" w:w="110"/>
              <w:bottom w:type="dxa" w:w="90"/>
              <w:right w:type="dxa" w:w="110"/>
            </w:tcMar>
          </w:tcPr>
          <w:p>
            <w:r>
              <w:rPr>
                <w:b w:val="false"/>
                <w:bCs w:val="false"/>
                <w:color w:val="222222"/>
                <w:sz w:val="19"/>
                <w:szCs w:val="19"/>
              </w:rPr>
              <w:t xml:space="preserve">Reports whether the caller has an active, expired, or new session, along with remaining TTL</w:t>
            </w:r>
          </w:p>
        </w:tc>
      </w:tr>
      <w:tr>
        <w:tc>
          <w:tcPr>
            <w:tcW w:type="dxa" w:w="3600"/>
            <w:shd w:fill="EDF1F7" w:val="clear"/>
            <w:tcMar>
              <w:top w:type="dxa" w:w="90"/>
              <w:left w:type="dxa" w:w="110"/>
              <w:bottom w:type="dxa" w:w="90"/>
              <w:right w:type="dxa" w:w="110"/>
            </w:tcMar>
          </w:tcPr>
          <w:p>
            <w:r>
              <w:rPr>
                <w:b w:val="false"/>
                <w:bCs w:val="false"/>
                <w:color w:val="222222"/>
                <w:sz w:val="19"/>
                <w:szCs w:val="19"/>
              </w:rPr>
              <w:t xml:space="preserve">/session/history</w:t>
            </w:r>
          </w:p>
        </w:tc>
        <w:tc>
          <w:tcPr>
            <w:tcW w:type="dxa" w:w="1800"/>
            <w:shd w:fill="EDF1F7" w:val="clear"/>
            <w:tcMar>
              <w:top w:type="dxa" w:w="90"/>
              <w:left w:type="dxa" w:w="110"/>
              <w:bottom w:type="dxa" w:w="90"/>
              <w:right w:type="dxa" w:w="110"/>
            </w:tcMar>
          </w:tcPr>
          <w:p>
            <w:r>
              <w:rPr>
                <w:b w:val="false"/>
                <w:bCs w:val="false"/>
                <w:color w:val="222222"/>
                <w:sz w:val="19"/>
                <w:szCs w:val="19"/>
              </w:rPr>
              <w:t xml:space="preserve">GET</w:t>
            </w:r>
          </w:p>
        </w:tc>
        <w:tc>
          <w:tcPr>
            <w:tcW w:type="dxa" w:w="4800"/>
            <w:shd w:fill="EDF1F7" w:val="clear"/>
            <w:tcMar>
              <w:top w:type="dxa" w:w="90"/>
              <w:left w:type="dxa" w:w="110"/>
              <w:bottom w:type="dxa" w:w="90"/>
              <w:right w:type="dxa" w:w="110"/>
            </w:tcMar>
          </w:tcPr>
          <w:p>
            <w:r>
              <w:rPr>
                <w:b w:val="false"/>
                <w:bCs w:val="false"/>
                <w:color w:val="222222"/>
                <w:sz w:val="19"/>
                <w:szCs w:val="19"/>
              </w:rPr>
              <w:t xml:space="preserve">Returns the stored question/answer history for the current session</w:t>
            </w:r>
          </w:p>
        </w:tc>
      </w:tr>
      <w:tr>
        <w:tc>
          <w:tcPr>
            <w:tcW w:type="dxa" w:w="3600"/>
            <w:tcMar>
              <w:top w:type="dxa" w:w="90"/>
              <w:left w:type="dxa" w:w="110"/>
              <w:bottom w:type="dxa" w:w="90"/>
              <w:right w:type="dxa" w:w="110"/>
            </w:tcMar>
          </w:tcPr>
          <w:p>
            <w:r>
              <w:rPr>
                <w:b w:val="false"/>
                <w:bCs w:val="false"/>
                <w:color w:val="222222"/>
                <w:sz w:val="19"/>
                <w:szCs w:val="19"/>
              </w:rPr>
              <w:t xml:space="preserve">/session/clear</w:t>
            </w:r>
          </w:p>
        </w:tc>
        <w:tc>
          <w:tcPr>
            <w:tcW w:type="dxa" w:w="1800"/>
            <w:tcMar>
              <w:top w:type="dxa" w:w="90"/>
              <w:left w:type="dxa" w:w="110"/>
              <w:bottom w:type="dxa" w:w="90"/>
              <w:right w:type="dxa" w:w="110"/>
            </w:tcMar>
          </w:tcPr>
          <w:p>
            <w:r>
              <w:rPr>
                <w:b w:val="false"/>
                <w:bCs w:val="false"/>
                <w:color w:val="222222"/>
                <w:sz w:val="19"/>
                <w:szCs w:val="19"/>
              </w:rPr>
              <w:t xml:space="preserve">DELETE</w:t>
            </w:r>
          </w:p>
        </w:tc>
        <w:tc>
          <w:tcPr>
            <w:tcW w:type="dxa" w:w="4800"/>
            <w:tcMar>
              <w:top w:type="dxa" w:w="90"/>
              <w:left w:type="dxa" w:w="110"/>
              <w:bottom w:type="dxa" w:w="90"/>
              <w:right w:type="dxa" w:w="110"/>
            </w:tcMar>
          </w:tcPr>
          <w:p>
            <w:r>
              <w:rPr>
                <w:b w:val="false"/>
                <w:bCs w:val="false"/>
                <w:color w:val="222222"/>
                <w:sz w:val="19"/>
                <w:szCs w:val="19"/>
              </w:rPr>
              <w:t xml:space="preserve">Deletes the session record from Redis immediately</w:t>
            </w:r>
          </w:p>
        </w:tc>
      </w:tr>
    </w:tbl>
    <w:p>
      <w:pPr>
        <w:pStyle w:val="Heading1"/>
        <w:pBdr>
          <w:bottom w:val="single" w:color="2E5AA8" w:sz="6" w:space="4"/>
        </w:pBdr>
        <w:spacing w:after="200" w:before="400"/>
      </w:pPr>
      <w:r>
        <w:rPr>
          <w:b/>
          <w:bCs/>
          <w:color w:val="1F2A44"/>
          <w:sz w:val="30"/>
          <w:szCs w:val="30"/>
        </w:rPr>
        <w:t xml:space="preserve">7. Content Moderation &amp; Query Scoping</w:t>
      </w:r>
    </w:p>
    <w:p>
      <w:pPr>
        <w:spacing w:after="160" w:line="300"/>
      </w:pPr>
      <w:r>
        <w:rPr>
          <w:color w:val="222222"/>
          <w:sz w:val="21"/>
          <w:szCs w:val="21"/>
        </w:rPr>
        <w:t xml:space="preserve">Both the user's question and the model's generated answer are screened through OpenAI's Moderations API before the answer is returned. If the incoming question is flagged, the request is rejected with a 400 error before any retrieval or generation cost is incurred. If the generated answer is flagged (which would be unusual given the constrained legal prompting), it is replaced with a fixed refusal message rather than being shown to the user.</w:t>
      </w:r>
    </w:p>
    <w:p>
      <w:pPr>
        <w:spacing w:after="160" w:line="300"/>
      </w:pPr>
      <w:r>
        <w:rPr>
          <w:color w:val="222222"/>
          <w:sz w:val="21"/>
          <w:szCs w:val="21"/>
        </w:rPr>
        <w:t xml:space="preserve">The moderation calls fail open: if the Moderations API returns a rate-limit error or any other transient exception, the query is allowed to proceed rather than blocking the user, and the failure is logged. This is a deliberate availability-over-strictness trade-off worth reviewing for stricter deployments.</w:t>
      </w:r>
    </w:p>
    <w:p>
      <w:pPr>
        <w:spacing w:after="160" w:line="300"/>
      </w:pPr>
      <w:r>
        <w:rPr>
          <w:color w:val="222222"/>
          <w:sz w:val="21"/>
          <w:szCs w:val="21"/>
        </w:rPr>
        <w:t xml:space="preserve">Separately from moderation, the greeting/non-legal/legal classifier (Section 3) keeps the assistant scoped to its intended domain by declining, in a fixed and predictable way, to engage with topics such as sport, recipes, celebrity gossip, or cryptocurrency.</w:t>
      </w:r>
    </w:p>
    <w:p>
      <w:pPr>
        <w:pStyle w:val="Heading1"/>
        <w:pBdr>
          <w:bottom w:val="single" w:color="2E5AA8" w:sz="6" w:space="4"/>
        </w:pBdr>
        <w:spacing w:after="200" w:before="400"/>
      </w:pPr>
      <w:r>
        <w:rPr>
          <w:b/>
          <w:bCs/>
          <w:color w:val="1F2A44"/>
          <w:sz w:val="30"/>
          <w:szCs w:val="30"/>
        </w:rPr>
        <w:t xml:space="preserve">8. Rate Limiting</w:t>
      </w:r>
    </w:p>
    <w:p>
      <w:pPr>
        <w:spacing w:after="160" w:line="300"/>
      </w:pPr>
      <w:r>
        <w:rPr>
          <w:color w:val="222222"/>
          <w:sz w:val="21"/>
          <w:szCs w:val="21"/>
        </w:rPr>
        <w:t xml:space="preserve">The SlowAPI library (a FastAPI-friendly wrapper around the `limits` package) is attached as both application middleware and a per-route decorator on POST /query. Limits are keyed by the caller's remote IP address and default to 60 requests per minute (RATE_LIMIT). When the limit is exceeded, a custom exception handler returns HTTP 429 with a plain-language message instead of the library's default response.</w:t>
      </w:r>
    </w:p>
    <w:p>
      <w:pPr>
        <w:pStyle w:val="Heading1"/>
        <w:pBdr>
          <w:bottom w:val="single" w:color="2E5AA8" w:sz="6" w:space="4"/>
        </w:pBdr>
        <w:spacing w:after="200" w:before="400"/>
      </w:pPr>
      <w:r>
        <w:rPr>
          <w:b/>
          <w:bCs/>
          <w:color w:val="1F2A44"/>
          <w:sz w:val="30"/>
          <w:szCs w:val="30"/>
        </w:rPr>
        <w:t xml:space="preserve">9. Error Handling &amp; Resilience</w:t>
      </w:r>
    </w:p>
    <w:p>
      <w:pPr>
        <w:pStyle w:val="ListParagraph"/>
        <w:numPr>
          <w:ilvl w:val="0"/>
          <w:numId w:val="2"/>
        </w:numPr>
        <w:spacing w:after="90" w:line="280"/>
      </w:pPr>
      <w:r>
        <w:rPr>
          <w:color w:val="222222"/>
          <w:sz w:val="21"/>
          <w:szCs w:val="21"/>
        </w:rPr>
        <w:t xml:space="preserve">Vector store failures (ChromaDB unreachable, embedding errors, etc.) are caught inside the retrieval function and converted into a "none" confidence result rather than raising an exception, so the request can still complete via the fallback prompt.</w:t>
      </w:r>
    </w:p>
    <w:p>
      <w:pPr>
        <w:pStyle w:val="ListParagraph"/>
        <w:numPr>
          <w:ilvl w:val="0"/>
          <w:numId w:val="2"/>
        </w:numPr>
        <w:spacing w:after="90" w:line="280"/>
      </w:pPr>
      <w:r>
        <w:rPr>
          <w:color w:val="222222"/>
          <w:sz w:val="21"/>
          <w:szCs w:val="21"/>
        </w:rPr>
        <w:t xml:space="preserve">Redis failures during session lookup are logged and the request proceeds by issuing a brand-new session rather than failing outright.</w:t>
      </w:r>
    </w:p>
    <w:p>
      <w:pPr>
        <w:pStyle w:val="ListParagraph"/>
        <w:numPr>
          <w:ilvl w:val="0"/>
          <w:numId w:val="2"/>
        </w:numPr>
        <w:spacing w:after="90" w:line="280"/>
      </w:pPr>
      <w:r>
        <w:rPr>
          <w:color w:val="222222"/>
          <w:sz w:val="21"/>
          <w:szCs w:val="21"/>
        </w:rPr>
        <w:t xml:space="preserve">Moderation failures fail open (see Section 7) rather than blocking the conversation.</w:t>
      </w:r>
    </w:p>
    <w:p>
      <w:pPr>
        <w:pStyle w:val="ListParagraph"/>
        <w:numPr>
          <w:ilvl w:val="0"/>
          <w:numId w:val="2"/>
        </w:numPr>
        <w:spacing w:after="90" w:line="280"/>
      </w:pPr>
      <w:r>
        <w:rPr>
          <w:color w:val="222222"/>
          <w:sz w:val="21"/>
          <w:szCs w:val="21"/>
        </w:rPr>
        <w:t xml:space="preserve">A global FastAPI exception handler catches any unhandled exception, logs the full stack trace server-side, and returns a generic HTTP 500 message to the client — internal details are never leaked in the response body.</w:t>
      </w:r>
    </w:p>
    <w:p>
      <w:pPr>
        <w:pStyle w:val="ListParagraph"/>
        <w:numPr>
          <w:ilvl w:val="0"/>
          <w:numId w:val="2"/>
        </w:numPr>
        <w:spacing w:after="90" w:line="280"/>
      </w:pPr>
      <w:r>
        <w:rPr>
          <w:color w:val="222222"/>
          <w:sz w:val="21"/>
          <w:szCs w:val="21"/>
        </w:rPr>
        <w:t xml:space="preserve">A GET /health endpoint independently pings Redis and performs a trivial similarity search against ChromaDB, returning "ok" or "degraded" so the deployment can be monitored externally.</w:t>
      </w:r>
    </w:p>
    <w:p>
      <w:pPr>
        <w:pStyle w:val="Heading1"/>
        <w:pBdr>
          <w:bottom w:val="single" w:color="2E5AA8" w:sz="6" w:space="4"/>
        </w:pBdr>
        <w:spacing w:after="200" w:before="400"/>
      </w:pPr>
      <w:r>
        <w:rPr>
          <w:b/>
          <w:bCs/>
          <w:color w:val="1F2A44"/>
          <w:sz w:val="30"/>
          <w:szCs w:val="30"/>
        </w:rPr>
        <w:t xml:space="preserve">10. Front-End Design</w:t>
      </w:r>
    </w:p>
    <w:p>
      <w:pPr>
        <w:spacing w:after="160" w:line="300"/>
      </w:pPr>
      <w:r>
        <w:rPr>
          <w:color w:val="222222"/>
          <w:sz w:val="21"/>
          <w:szCs w:val="21"/>
        </w:rPr>
        <w:t xml:space="preserve">The interface (index.html) is a single static page using plain HTML, CSS, and vanilla JavaScript — there is no build step or JavaScript framework. Font Awesome icons are used for visual affordances (lock icon, robot and user icons, send button, etc.).</w:t>
      </w:r>
    </w:p>
    <w:p>
      <w:pPr>
        <w:pStyle w:val="Heading2"/>
        <w:spacing w:after="140" w:before="300"/>
      </w:pPr>
      <w:r>
        <w:rPr>
          <w:b/>
          <w:bCs/>
          <w:color w:val="2E5AA8"/>
          <w:sz w:val="24"/>
          <w:szCs w:val="24"/>
        </w:rPr>
        <w:t xml:space="preserve">10.1 Layout</w:t>
      </w:r>
    </w:p>
    <w:p>
      <w:pPr>
        <w:pStyle w:val="ListParagraph"/>
        <w:numPr>
          <w:ilvl w:val="0"/>
          <w:numId w:val="2"/>
        </w:numPr>
        <w:spacing w:after="90" w:line="280"/>
      </w:pPr>
      <w:r>
        <w:rPr>
          <w:color w:val="222222"/>
          <w:sz w:val="21"/>
          <w:szCs w:val="21"/>
        </w:rPr>
        <w:t xml:space="preserve">A header with the assistant's branding and a security badge indicating the connection is encrypted.</w:t>
      </w:r>
    </w:p>
    <w:p>
      <w:pPr>
        <w:pStyle w:val="ListParagraph"/>
        <w:numPr>
          <w:ilvl w:val="0"/>
          <w:numId w:val="2"/>
        </w:numPr>
        <w:spacing w:after="90" w:line="280"/>
      </w:pPr>
      <w:r>
        <w:rPr>
          <w:color w:val="222222"/>
          <w:sz w:val="21"/>
          <w:szCs w:val="21"/>
        </w:rPr>
        <w:t xml:space="preserve">A two-column main layout: a chat panel on the left and a sidebar on the right.</w:t>
      </w:r>
    </w:p>
    <w:p>
      <w:pPr>
        <w:pStyle w:val="ListParagraph"/>
        <w:numPr>
          <w:ilvl w:val="0"/>
          <w:numId w:val="2"/>
        </w:numPr>
        <w:spacing w:after="90" w:line="280"/>
      </w:pPr>
      <w:r>
        <w:rPr>
          <w:color w:val="222222"/>
          <w:sz w:val="21"/>
          <w:szCs w:val="21"/>
        </w:rPr>
        <w:t xml:space="preserve">The chat panel shows a scrolling message history, a status indicator dot reflecting session state, and an input row with a send button.</w:t>
      </w:r>
    </w:p>
    <w:p>
      <w:pPr>
        <w:pStyle w:val="ListParagraph"/>
        <w:numPr>
          <w:ilvl w:val="0"/>
          <w:numId w:val="2"/>
        </w:numPr>
        <w:spacing w:after="90" w:line="280"/>
      </w:pPr>
      <w:r>
        <w:rPr>
          <w:color w:val="222222"/>
          <w:sz w:val="21"/>
          <w:szCs w:val="21"/>
        </w:rPr>
        <w:t xml:space="preserve">The sidebar shows the current session's recent question history (fetched from /session/history) and a static set of tips for getting better answers.</w:t>
      </w:r>
    </w:p>
    <w:p>
      <w:pPr>
        <w:pStyle w:val="ListParagraph"/>
        <w:numPr>
          <w:ilvl w:val="0"/>
          <w:numId w:val="2"/>
        </w:numPr>
        <w:spacing w:after="90" w:line="280"/>
      </w:pPr>
      <w:r>
        <w:rPr>
          <w:color w:val="222222"/>
          <w:sz w:val="21"/>
          <w:szCs w:val="21"/>
        </w:rPr>
        <w:t xml:space="preserve">A footer carries a legal disclaimer clarifying that the assistant does not replace professional legal advice.</w:t>
      </w:r>
    </w:p>
    <w:p>
      <w:pPr>
        <w:pStyle w:val="Heading2"/>
        <w:spacing w:after="140" w:before="300"/>
      </w:pPr>
      <w:r>
        <w:rPr>
          <w:b/>
          <w:bCs/>
          <w:color w:val="2E5AA8"/>
          <w:sz w:val="24"/>
          <w:szCs w:val="24"/>
        </w:rPr>
        <w:t xml:space="preserve">10.2 Client-Side Behaviour</w:t>
      </w:r>
    </w:p>
    <w:p>
      <w:pPr>
        <w:pStyle w:val="ListParagraph"/>
        <w:numPr>
          <w:ilvl w:val="0"/>
          <w:numId w:val="2"/>
        </w:numPr>
        <w:spacing w:after="90" w:line="280"/>
      </w:pPr>
      <w:r>
        <w:rPr>
          <w:color w:val="222222"/>
          <w:sz w:val="21"/>
          <w:szCs w:val="21"/>
        </w:rPr>
        <w:t xml:space="preserve">On load, the page calls GET /session/status to determine whether an active session already exists and updates the status indicator accordingly.</w:t>
      </w:r>
    </w:p>
    <w:p>
      <w:pPr>
        <w:pStyle w:val="ListParagraph"/>
        <w:numPr>
          <w:ilvl w:val="0"/>
          <w:numId w:val="2"/>
        </w:numPr>
        <w:spacing w:after="90" w:line="280"/>
      </w:pPr>
      <w:r>
        <w:rPr>
          <w:color w:val="222222"/>
          <w:sz w:val="21"/>
          <w:szCs w:val="21"/>
        </w:rPr>
        <w:t xml:space="preserve">If a session is active, GET /session/history is called to repopulate the sidebar with prior questions.</w:t>
      </w:r>
    </w:p>
    <w:p>
      <w:pPr>
        <w:pStyle w:val="ListParagraph"/>
        <w:numPr>
          <w:ilvl w:val="0"/>
          <w:numId w:val="2"/>
        </w:numPr>
        <w:spacing w:after="90" w:line="280"/>
      </w:pPr>
      <w:r>
        <w:rPr>
          <w:color w:val="222222"/>
          <w:sz w:val="21"/>
          <w:szCs w:val="21"/>
        </w:rPr>
        <w:t xml:space="preserve">Sending a message performs a fetch() POST to /query with the raw text; while waiting, an animated typing indicator (three bouncing dots) is shown in place of the assistant's reply.</w:t>
      </w:r>
    </w:p>
    <w:p>
      <w:pPr>
        <w:pStyle w:val="ListParagraph"/>
        <w:numPr>
          <w:ilvl w:val="0"/>
          <w:numId w:val="2"/>
        </w:numPr>
        <w:spacing w:after="90" w:line="280"/>
      </w:pPr>
      <w:r>
        <w:rPr>
          <w:color w:val="222222"/>
          <w:sz w:val="21"/>
          <w:szCs w:val="21"/>
        </w:rPr>
        <w:t xml:space="preserve">The response is rendered into the chat history, including a distinct "Legal Sources" block listing every source document the backend cited, so the user can see what supported the answer.</w:t>
      </w:r>
    </w:p>
    <w:p>
      <w:pPr>
        <w:pStyle w:val="ListParagraph"/>
        <w:numPr>
          <w:ilvl w:val="0"/>
          <w:numId w:val="2"/>
        </w:numPr>
        <w:spacing w:after="90" w:line="280"/>
      </w:pPr>
      <w:r>
        <w:rPr>
          <w:color w:val="222222"/>
          <w:sz w:val="21"/>
          <w:szCs w:val="21"/>
        </w:rPr>
        <w:t xml:space="preserve">All requests use same-origin relative URLs (e.g. fetch('query')) and credentials are included automatically via the cookie, so no client-side API key or token handling is required.</w:t>
      </w:r>
    </w:p>
    <w:p>
      <w:pPr>
        <w:pStyle w:val="Heading1"/>
        <w:pBdr>
          <w:bottom w:val="single" w:color="2E5AA8" w:sz="6" w:space="4"/>
        </w:pBdr>
        <w:spacing w:after="200" w:before="400"/>
      </w:pPr>
      <w:r>
        <w:rPr>
          <w:b/>
          <w:bCs/>
          <w:color w:val="1F2A44"/>
          <w:sz w:val="30"/>
          <w:szCs w:val="30"/>
        </w:rPr>
        <w:t xml:space="preserve">11. Key Techniques 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shd w:fill="1F2A44" w:val="clear"/>
            <w:tcMar>
              <w:top w:type="dxa" w:w="90"/>
              <w:left w:type="dxa" w:w="110"/>
              <w:bottom w:type="dxa" w:w="90"/>
              <w:right w:type="dxa" w:w="110"/>
            </w:tcMar>
          </w:tcPr>
          <w:p>
            <w:r>
              <w:rPr>
                <w:b/>
                <w:bCs/>
                <w:color w:val="FFFFFF"/>
                <w:sz w:val="19"/>
                <w:szCs w:val="19"/>
              </w:rPr>
              <w:t xml:space="preserve">Technique</w:t>
            </w:r>
          </w:p>
        </w:tc>
        <w:tc>
          <w:tcPr>
            <w:tcW w:type="dxa" w:w="2600"/>
            <w:shd w:fill="1F2A44" w:val="clear"/>
            <w:tcMar>
              <w:top w:type="dxa" w:w="90"/>
              <w:left w:type="dxa" w:w="110"/>
              <w:bottom w:type="dxa" w:w="90"/>
              <w:right w:type="dxa" w:w="110"/>
            </w:tcMar>
          </w:tcPr>
          <w:p>
            <w:r>
              <w:rPr>
                <w:b/>
                <w:bCs/>
                <w:color w:val="FFFFFF"/>
                <w:sz w:val="19"/>
                <w:szCs w:val="19"/>
              </w:rPr>
              <w:t xml:space="preserve">Where it's applied</w:t>
            </w:r>
          </w:p>
        </w:tc>
        <w:tc>
          <w:tcPr>
            <w:tcW w:type="dxa" w:w="4200"/>
            <w:shd w:fill="1F2A44" w:val="clear"/>
            <w:tcMar>
              <w:top w:type="dxa" w:w="90"/>
              <w:left w:type="dxa" w:w="110"/>
              <w:bottom w:type="dxa" w:w="90"/>
              <w:right w:type="dxa" w:w="110"/>
            </w:tcMar>
          </w:tcPr>
          <w:p>
            <w:r>
              <w:rPr>
                <w:b/>
                <w:bCs/>
                <w:color w:val="FFFFFF"/>
                <w:sz w:val="19"/>
                <w:szCs w:val="19"/>
              </w:rPr>
              <w:t xml:space="preserve">Why</w:t>
            </w:r>
          </w:p>
        </w:tc>
      </w:tr>
      <w:tr>
        <w:tc>
          <w:tcPr>
            <w:tcW w:type="dxa" w:w="2600"/>
            <w:tcMar>
              <w:top w:type="dxa" w:w="90"/>
              <w:left w:type="dxa" w:w="110"/>
              <w:bottom w:type="dxa" w:w="90"/>
              <w:right w:type="dxa" w:w="110"/>
            </w:tcMar>
          </w:tcPr>
          <w:p>
            <w:r>
              <w:rPr>
                <w:b w:val="false"/>
                <w:bCs w:val="false"/>
                <w:color w:val="222222"/>
                <w:sz w:val="19"/>
                <w:szCs w:val="19"/>
              </w:rPr>
              <w:t xml:space="preserve">Retrieval-Augmented Generation</w:t>
            </w:r>
          </w:p>
        </w:tc>
        <w:tc>
          <w:tcPr>
            <w:tcW w:type="dxa" w:w="2600"/>
            <w:tcMar>
              <w:top w:type="dxa" w:w="90"/>
              <w:left w:type="dxa" w:w="110"/>
              <w:bottom w:type="dxa" w:w="90"/>
              <w:right w:type="dxa" w:w="110"/>
            </w:tcMar>
          </w:tcPr>
          <w:p>
            <w:r>
              <w:rPr>
                <w:b w:val="false"/>
                <w:bCs w:val="false"/>
                <w:color w:val="222222"/>
                <w:sz w:val="19"/>
                <w:szCs w:val="19"/>
              </w:rPr>
              <w:t xml:space="preserve">Section 4</w:t>
            </w:r>
          </w:p>
        </w:tc>
        <w:tc>
          <w:tcPr>
            <w:tcW w:type="dxa" w:w="4200"/>
            <w:tcMar>
              <w:top w:type="dxa" w:w="90"/>
              <w:left w:type="dxa" w:w="110"/>
              <w:bottom w:type="dxa" w:w="90"/>
              <w:right w:type="dxa" w:w="110"/>
            </w:tcMar>
          </w:tcPr>
          <w:p>
            <w:r>
              <w:rPr>
                <w:b w:val="false"/>
                <w:bCs w:val="false"/>
                <w:color w:val="222222"/>
                <w:sz w:val="19"/>
                <w:szCs w:val="19"/>
              </w:rPr>
              <w:t xml:space="preserve">Grounds answers in an actual legal document corpus instead of relying solely on model memory, and reduces hallucinated citations</w:t>
            </w:r>
          </w:p>
        </w:tc>
      </w:tr>
      <w:tr>
        <w:tc>
          <w:tcPr>
            <w:tcW w:type="dxa" w:w="2600"/>
            <w:shd w:fill="EDF1F7" w:val="clear"/>
            <w:tcMar>
              <w:top w:type="dxa" w:w="90"/>
              <w:left w:type="dxa" w:w="110"/>
              <w:bottom w:type="dxa" w:w="90"/>
              <w:right w:type="dxa" w:w="110"/>
            </w:tcMar>
          </w:tcPr>
          <w:p>
            <w:r>
              <w:rPr>
                <w:b w:val="false"/>
                <w:bCs w:val="false"/>
                <w:color w:val="222222"/>
                <w:sz w:val="19"/>
                <w:szCs w:val="19"/>
              </w:rPr>
              <w:t xml:space="preserve">Confidence-tiered chain selection</w:t>
            </w:r>
          </w:p>
        </w:tc>
        <w:tc>
          <w:tcPr>
            <w:tcW w:type="dxa" w:w="2600"/>
            <w:shd w:fill="EDF1F7" w:val="clear"/>
            <w:tcMar>
              <w:top w:type="dxa" w:w="90"/>
              <w:left w:type="dxa" w:w="110"/>
              <w:bottom w:type="dxa" w:w="90"/>
              <w:right w:type="dxa" w:w="110"/>
            </w:tcMar>
          </w:tcPr>
          <w:p>
            <w:r>
              <w:rPr>
                <w:b w:val="false"/>
                <w:bCs w:val="false"/>
                <w:color w:val="222222"/>
                <w:sz w:val="19"/>
                <w:szCs w:val="19"/>
              </w:rPr>
              <w:t xml:space="preserve">Section 4.2 / 4.4</w:t>
            </w:r>
          </w:p>
        </w:tc>
        <w:tc>
          <w:tcPr>
            <w:tcW w:type="dxa" w:w="4200"/>
            <w:shd w:fill="EDF1F7" w:val="clear"/>
            <w:tcMar>
              <w:top w:type="dxa" w:w="90"/>
              <w:left w:type="dxa" w:w="110"/>
              <w:bottom w:type="dxa" w:w="90"/>
              <w:right w:type="dxa" w:w="110"/>
            </w:tcMar>
          </w:tcPr>
          <w:p>
            <w:r>
              <w:rPr>
                <w:b w:val="false"/>
                <w:bCs w:val="false"/>
                <w:color w:val="222222"/>
                <w:sz w:val="19"/>
                <w:szCs w:val="19"/>
              </w:rPr>
              <w:t xml:space="preserve">Chooses between grounded, blended, or general-knowledge answers based on measurable retrieval quality, rather than always trusting retrieval or always ignoring it</w:t>
            </w:r>
          </w:p>
        </w:tc>
      </w:tr>
      <w:tr>
        <w:tc>
          <w:tcPr>
            <w:tcW w:type="dxa" w:w="2600"/>
            <w:tcMar>
              <w:top w:type="dxa" w:w="90"/>
              <w:left w:type="dxa" w:w="110"/>
              <w:bottom w:type="dxa" w:w="90"/>
              <w:right w:type="dxa" w:w="110"/>
            </w:tcMar>
          </w:tcPr>
          <w:p>
            <w:r>
              <w:rPr>
                <w:b w:val="false"/>
                <w:bCs w:val="false"/>
                <w:color w:val="222222"/>
                <w:sz w:val="19"/>
                <w:szCs w:val="19"/>
              </w:rPr>
              <w:t xml:space="preserve">Deterministic pre-classification</w:t>
            </w:r>
          </w:p>
        </w:tc>
        <w:tc>
          <w:tcPr>
            <w:tcW w:type="dxa" w:w="2600"/>
            <w:tcMar>
              <w:top w:type="dxa" w:w="90"/>
              <w:left w:type="dxa" w:w="110"/>
              <w:bottom w:type="dxa" w:w="90"/>
              <w:right w:type="dxa" w:w="110"/>
            </w:tcMar>
          </w:tcPr>
          <w:p>
            <w:r>
              <w:rPr>
                <w:b w:val="false"/>
                <w:bCs w:val="false"/>
                <w:color w:val="222222"/>
                <w:sz w:val="19"/>
                <w:szCs w:val="19"/>
              </w:rPr>
              <w:t xml:space="preserve">Section 3</w:t>
            </w:r>
          </w:p>
        </w:tc>
        <w:tc>
          <w:tcPr>
            <w:tcW w:type="dxa" w:w="4200"/>
            <w:tcMar>
              <w:top w:type="dxa" w:w="90"/>
              <w:left w:type="dxa" w:w="110"/>
              <w:bottom w:type="dxa" w:w="90"/>
              <w:right w:type="dxa" w:w="110"/>
            </w:tcMar>
          </w:tcPr>
          <w:p>
            <w:r>
              <w:rPr>
                <w:b w:val="false"/>
                <w:bCs w:val="false"/>
                <w:color w:val="222222"/>
                <w:sz w:val="19"/>
                <w:szCs w:val="19"/>
              </w:rPr>
              <w:t xml:space="preserve">Filters greetings and off-topic messages cheaply, before any paid API call, and keeps the assistant on-topic</w:t>
            </w:r>
          </w:p>
        </w:tc>
      </w:tr>
      <w:tr>
        <w:tc>
          <w:tcPr>
            <w:tcW w:type="dxa" w:w="2600"/>
            <w:shd w:fill="EDF1F7" w:val="clear"/>
            <w:tcMar>
              <w:top w:type="dxa" w:w="90"/>
              <w:left w:type="dxa" w:w="110"/>
              <w:bottom w:type="dxa" w:w="90"/>
              <w:right w:type="dxa" w:w="110"/>
            </w:tcMar>
          </w:tcPr>
          <w:p>
            <w:r>
              <w:rPr>
                <w:b w:val="false"/>
                <w:bCs w:val="false"/>
                <w:color w:val="222222"/>
                <w:sz w:val="19"/>
                <w:szCs w:val="19"/>
              </w:rPr>
              <w:t xml:space="preserve">Recency-aware prompting</w:t>
            </w:r>
          </w:p>
        </w:tc>
        <w:tc>
          <w:tcPr>
            <w:tcW w:type="dxa" w:w="2600"/>
            <w:shd w:fill="EDF1F7" w:val="clear"/>
            <w:tcMar>
              <w:top w:type="dxa" w:w="90"/>
              <w:left w:type="dxa" w:w="110"/>
              <w:bottom w:type="dxa" w:w="90"/>
              <w:right w:type="dxa" w:w="110"/>
            </w:tcMar>
          </w:tcPr>
          <w:p>
            <w:r>
              <w:rPr>
                <w:b w:val="false"/>
                <w:bCs w:val="false"/>
                <w:color w:val="222222"/>
                <w:sz w:val="19"/>
                <w:szCs w:val="19"/>
              </w:rPr>
              <w:t xml:space="preserve">Section 3.2 / 5.3</w:t>
            </w:r>
          </w:p>
        </w:tc>
        <w:tc>
          <w:tcPr>
            <w:tcW w:type="dxa" w:w="4200"/>
            <w:shd w:fill="EDF1F7" w:val="clear"/>
            <w:tcMar>
              <w:top w:type="dxa" w:w="90"/>
              <w:left w:type="dxa" w:w="110"/>
              <w:bottom w:type="dxa" w:w="90"/>
              <w:right w:type="dxa" w:w="110"/>
            </w:tcMar>
          </w:tcPr>
          <w:p>
            <w:r>
              <w:rPr>
                <w:b w:val="false"/>
                <w:bCs w:val="false"/>
                <w:color w:val="222222"/>
                <w:sz w:val="19"/>
                <w:szCs w:val="19"/>
              </w:rPr>
              <w:t xml:space="preserve">Reduces the risk of citing superseded legislation on time-sensitive questions</w:t>
            </w:r>
          </w:p>
        </w:tc>
      </w:tr>
      <w:tr>
        <w:tc>
          <w:tcPr>
            <w:tcW w:type="dxa" w:w="2600"/>
            <w:tcMar>
              <w:top w:type="dxa" w:w="90"/>
              <w:left w:type="dxa" w:w="110"/>
              <w:bottom w:type="dxa" w:w="90"/>
              <w:right w:type="dxa" w:w="110"/>
            </w:tcMar>
          </w:tcPr>
          <w:p>
            <w:r>
              <w:rPr>
                <w:b w:val="false"/>
                <w:bCs w:val="false"/>
                <w:color w:val="222222"/>
                <w:sz w:val="19"/>
                <w:szCs w:val="19"/>
              </w:rPr>
              <w:t xml:space="preserve">LangChain Expression Language (LCEL) chains</w:t>
            </w:r>
          </w:p>
        </w:tc>
        <w:tc>
          <w:tcPr>
            <w:tcW w:type="dxa" w:w="2600"/>
            <w:tcMar>
              <w:top w:type="dxa" w:w="90"/>
              <w:left w:type="dxa" w:w="110"/>
              <w:bottom w:type="dxa" w:w="90"/>
              <w:right w:type="dxa" w:w="110"/>
            </w:tcMar>
          </w:tcPr>
          <w:p>
            <w:r>
              <w:rPr>
                <w:b w:val="false"/>
                <w:bCs w:val="false"/>
                <w:color w:val="222222"/>
                <w:sz w:val="19"/>
                <w:szCs w:val="19"/>
              </w:rPr>
              <w:t xml:space="preserve">Section 5</w:t>
            </w:r>
          </w:p>
        </w:tc>
        <w:tc>
          <w:tcPr>
            <w:tcW w:type="dxa" w:w="4200"/>
            <w:tcMar>
              <w:top w:type="dxa" w:w="90"/>
              <w:left w:type="dxa" w:w="110"/>
              <w:bottom w:type="dxa" w:w="90"/>
              <w:right w:type="dxa" w:w="110"/>
            </w:tcMar>
          </w:tcPr>
          <w:p>
            <w:r>
              <w:rPr>
                <w:b w:val="false"/>
                <w:bCs w:val="false"/>
                <w:color w:val="222222"/>
                <w:sz w:val="19"/>
                <w:szCs w:val="19"/>
              </w:rPr>
              <w:t xml:space="preserve">Composes prompt, model, and output parser into a single reusable, testable pipeline</w:t>
            </w:r>
          </w:p>
        </w:tc>
      </w:tr>
      <w:tr>
        <w:tc>
          <w:tcPr>
            <w:tcW w:type="dxa" w:w="2600"/>
            <w:shd w:fill="EDF1F7" w:val="clear"/>
            <w:tcMar>
              <w:top w:type="dxa" w:w="90"/>
              <w:left w:type="dxa" w:w="110"/>
              <w:bottom w:type="dxa" w:w="90"/>
              <w:right w:type="dxa" w:w="110"/>
            </w:tcMar>
          </w:tcPr>
          <w:p>
            <w:r>
              <w:rPr>
                <w:b w:val="false"/>
                <w:bCs w:val="false"/>
                <w:color w:val="222222"/>
                <w:sz w:val="19"/>
                <w:szCs w:val="19"/>
              </w:rPr>
              <w:t xml:space="preserve">Sliding-window conversational memory</w:t>
            </w:r>
          </w:p>
        </w:tc>
        <w:tc>
          <w:tcPr>
            <w:tcW w:type="dxa" w:w="2600"/>
            <w:shd w:fill="EDF1F7" w:val="clear"/>
            <w:tcMar>
              <w:top w:type="dxa" w:w="90"/>
              <w:left w:type="dxa" w:w="110"/>
              <w:bottom w:type="dxa" w:w="90"/>
              <w:right w:type="dxa" w:w="110"/>
            </w:tcMar>
          </w:tcPr>
          <w:p>
            <w:r>
              <w:rPr>
                <w:b w:val="false"/>
                <w:bCs w:val="false"/>
                <w:color w:val="222222"/>
                <w:sz w:val="19"/>
                <w:szCs w:val="19"/>
              </w:rPr>
              <w:t xml:space="preserve">Section 5.4 / 6</w:t>
            </w:r>
          </w:p>
        </w:tc>
        <w:tc>
          <w:tcPr>
            <w:tcW w:type="dxa" w:w="4200"/>
            <w:shd w:fill="EDF1F7" w:val="clear"/>
            <w:tcMar>
              <w:top w:type="dxa" w:w="90"/>
              <w:left w:type="dxa" w:w="110"/>
              <w:bottom w:type="dxa" w:w="90"/>
              <w:right w:type="dxa" w:w="110"/>
            </w:tcMar>
          </w:tcPr>
          <w:p>
            <w:r>
              <w:rPr>
                <w:b w:val="false"/>
                <w:bCs w:val="false"/>
                <w:color w:val="222222"/>
                <w:sz w:val="19"/>
                <w:szCs w:val="19"/>
              </w:rPr>
              <w:t xml:space="preserve">Gives the assistant short-term context without unbounded session growth or requiring user accounts</w:t>
            </w:r>
          </w:p>
        </w:tc>
      </w:tr>
      <w:tr>
        <w:tc>
          <w:tcPr>
            <w:tcW w:type="dxa" w:w="2600"/>
            <w:tcMar>
              <w:top w:type="dxa" w:w="90"/>
              <w:left w:type="dxa" w:w="110"/>
              <w:bottom w:type="dxa" w:w="90"/>
              <w:right w:type="dxa" w:w="110"/>
            </w:tcMar>
          </w:tcPr>
          <w:p>
            <w:r>
              <w:rPr>
                <w:b w:val="false"/>
                <w:bCs w:val="false"/>
                <w:color w:val="222222"/>
                <w:sz w:val="19"/>
                <w:szCs w:val="19"/>
              </w:rPr>
              <w:t xml:space="preserve">Dual-pass moderation</w:t>
            </w:r>
          </w:p>
        </w:tc>
        <w:tc>
          <w:tcPr>
            <w:tcW w:type="dxa" w:w="2600"/>
            <w:tcMar>
              <w:top w:type="dxa" w:w="90"/>
              <w:left w:type="dxa" w:w="110"/>
              <w:bottom w:type="dxa" w:w="90"/>
              <w:right w:type="dxa" w:w="110"/>
            </w:tcMar>
          </w:tcPr>
          <w:p>
            <w:r>
              <w:rPr>
                <w:b w:val="false"/>
                <w:bCs w:val="false"/>
                <w:color w:val="222222"/>
                <w:sz w:val="19"/>
                <w:szCs w:val="19"/>
              </w:rPr>
              <w:t xml:space="preserve">Section 7</w:t>
            </w:r>
          </w:p>
        </w:tc>
        <w:tc>
          <w:tcPr>
            <w:tcW w:type="dxa" w:w="4200"/>
            <w:tcMar>
              <w:top w:type="dxa" w:w="90"/>
              <w:left w:type="dxa" w:w="110"/>
              <w:bottom w:type="dxa" w:w="90"/>
              <w:right w:type="dxa" w:w="110"/>
            </w:tcMar>
          </w:tcPr>
          <w:p>
            <w:r>
              <w:rPr>
                <w:b w:val="false"/>
                <w:bCs w:val="false"/>
                <w:color w:val="222222"/>
                <w:sz w:val="19"/>
                <w:szCs w:val="19"/>
              </w:rPr>
              <w:t xml:space="preserve">Screens both the user's input and the model's output against a safety classifier</w:t>
            </w:r>
          </w:p>
        </w:tc>
      </w:tr>
      <w:tr>
        <w:tc>
          <w:tcPr>
            <w:tcW w:type="dxa" w:w="2600"/>
            <w:shd w:fill="EDF1F7" w:val="clear"/>
            <w:tcMar>
              <w:top w:type="dxa" w:w="90"/>
              <w:left w:type="dxa" w:w="110"/>
              <w:bottom w:type="dxa" w:w="90"/>
              <w:right w:type="dxa" w:w="110"/>
            </w:tcMar>
          </w:tcPr>
          <w:p>
            <w:r>
              <w:rPr>
                <w:b w:val="false"/>
                <w:bCs w:val="false"/>
                <w:color w:val="222222"/>
                <w:sz w:val="19"/>
                <w:szCs w:val="19"/>
              </w:rPr>
              <w:t xml:space="preserve">Fail-open / fail-soft error handling</w:t>
            </w:r>
          </w:p>
        </w:tc>
        <w:tc>
          <w:tcPr>
            <w:tcW w:type="dxa" w:w="2600"/>
            <w:shd w:fill="EDF1F7" w:val="clear"/>
            <w:tcMar>
              <w:top w:type="dxa" w:w="90"/>
              <w:left w:type="dxa" w:w="110"/>
              <w:bottom w:type="dxa" w:w="90"/>
              <w:right w:type="dxa" w:w="110"/>
            </w:tcMar>
          </w:tcPr>
          <w:p>
            <w:r>
              <w:rPr>
                <w:b w:val="false"/>
                <w:bCs w:val="false"/>
                <w:color w:val="222222"/>
                <w:sz w:val="19"/>
                <w:szCs w:val="19"/>
              </w:rPr>
              <w:t xml:space="preserve">Section 9</w:t>
            </w:r>
          </w:p>
        </w:tc>
        <w:tc>
          <w:tcPr>
            <w:tcW w:type="dxa" w:w="4200"/>
            <w:shd w:fill="EDF1F7" w:val="clear"/>
            <w:tcMar>
              <w:top w:type="dxa" w:w="90"/>
              <w:left w:type="dxa" w:w="110"/>
              <w:bottom w:type="dxa" w:w="90"/>
              <w:right w:type="dxa" w:w="110"/>
            </w:tcMar>
          </w:tcPr>
          <w:p>
            <w:r>
              <w:rPr>
                <w:b w:val="false"/>
                <w:bCs w:val="false"/>
                <w:color w:val="222222"/>
                <w:sz w:val="19"/>
                <w:szCs w:val="19"/>
              </w:rPr>
              <w:t xml:space="preserve">Keeps the assistant answering through partial infrastructure failures instead of hard-failing the whole request</w:t>
            </w:r>
          </w:p>
        </w:tc>
      </w:tr>
      <w:tr>
        <w:tc>
          <w:tcPr>
            <w:tcW w:type="dxa" w:w="2600"/>
            <w:tcMar>
              <w:top w:type="dxa" w:w="90"/>
              <w:left w:type="dxa" w:w="110"/>
              <w:bottom w:type="dxa" w:w="90"/>
              <w:right w:type="dxa" w:w="110"/>
            </w:tcMar>
          </w:tcPr>
          <w:p>
            <w:r>
              <w:rPr>
                <w:b w:val="false"/>
                <w:bCs w:val="false"/>
                <w:color w:val="222222"/>
                <w:sz w:val="19"/>
                <w:szCs w:val="19"/>
              </w:rPr>
              <w:t xml:space="preserve">IP-based rate limiting</w:t>
            </w:r>
          </w:p>
        </w:tc>
        <w:tc>
          <w:tcPr>
            <w:tcW w:type="dxa" w:w="2600"/>
            <w:tcMar>
              <w:top w:type="dxa" w:w="90"/>
              <w:left w:type="dxa" w:w="110"/>
              <w:bottom w:type="dxa" w:w="90"/>
              <w:right w:type="dxa" w:w="110"/>
            </w:tcMar>
          </w:tcPr>
          <w:p>
            <w:r>
              <w:rPr>
                <w:b w:val="false"/>
                <w:bCs w:val="false"/>
                <w:color w:val="222222"/>
                <w:sz w:val="19"/>
                <w:szCs w:val="19"/>
              </w:rPr>
              <w:t xml:space="preserve">Section 8</w:t>
            </w:r>
          </w:p>
        </w:tc>
        <w:tc>
          <w:tcPr>
            <w:tcW w:type="dxa" w:w="4200"/>
            <w:tcMar>
              <w:top w:type="dxa" w:w="90"/>
              <w:left w:type="dxa" w:w="110"/>
              <w:bottom w:type="dxa" w:w="90"/>
              <w:right w:type="dxa" w:w="110"/>
            </w:tcMar>
          </w:tcPr>
          <w:p>
            <w:r>
              <w:rPr>
                <w:b w:val="false"/>
                <w:bCs w:val="false"/>
                <w:color w:val="222222"/>
                <w:sz w:val="19"/>
                <w:szCs w:val="19"/>
              </w:rPr>
              <w:t xml:space="preserve">Protects the OpenAI and ChromaDB usage budget from abuse or runaway clients</w:t>
            </w:r>
          </w:p>
        </w:tc>
      </w:tr>
    </w:tbl>
    <w:p>
      <w:pPr>
        <w:pStyle w:val="Heading1"/>
        <w:pBdr>
          <w:bottom w:val="single" w:color="2E5AA8" w:sz="6" w:space="4"/>
        </w:pBdr>
        <w:spacing w:after="200" w:before="400"/>
      </w:pPr>
      <w:r>
        <w:rPr>
          <w:b/>
          <w:bCs/>
          <w:color w:val="1F2A44"/>
          <w:sz w:val="30"/>
          <w:szCs w:val="30"/>
        </w:rPr>
        <w:t xml:space="preserve">12. Environment Variables &amp; API Keys Required</w:t>
      </w:r>
    </w:p>
    <w:p>
      <w:pPr>
        <w:spacing w:after="160" w:line="300"/>
      </w:pPr>
      <w:r>
        <w:rPr>
          <w:color w:val="222222"/>
          <w:sz w:val="21"/>
          <w:szCs w:val="21"/>
        </w:rPr>
        <w:t xml:space="preserve">All secrets are read from environment variables (or a local .env file during development) via a Pydantic Settings class, and are never hard-coded or exposed to the front end. The following variables are required for the application to start: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5200"/>
      </w:tblGrid>
      <w:tr>
        <w:trPr>
          <w:tblHeader/>
        </w:trPr>
        <w:tc>
          <w:tcPr>
            <w:tcW w:type="dxa" w:w="3200"/>
            <w:shd w:fill="1F2A44" w:val="clear"/>
            <w:tcMar>
              <w:top w:type="dxa" w:w="90"/>
              <w:left w:type="dxa" w:w="110"/>
              <w:bottom w:type="dxa" w:w="90"/>
              <w:right w:type="dxa" w:w="110"/>
            </w:tcMar>
          </w:tcPr>
          <w:p>
            <w:r>
              <w:rPr>
                <w:b/>
                <w:bCs/>
                <w:color w:val="FFFFFF"/>
                <w:sz w:val="19"/>
                <w:szCs w:val="19"/>
              </w:rPr>
              <w:t xml:space="preserve">Variable</w:t>
            </w:r>
          </w:p>
        </w:tc>
        <w:tc>
          <w:tcPr>
            <w:tcW w:type="dxa" w:w="2200"/>
            <w:shd w:fill="1F2A44" w:val="clear"/>
            <w:tcMar>
              <w:top w:type="dxa" w:w="90"/>
              <w:left w:type="dxa" w:w="110"/>
              <w:bottom w:type="dxa" w:w="90"/>
              <w:right w:type="dxa" w:w="110"/>
            </w:tcMar>
          </w:tcPr>
          <w:p>
            <w:r>
              <w:rPr>
                <w:b/>
                <w:bCs/>
                <w:color w:val="FFFFFF"/>
                <w:sz w:val="19"/>
                <w:szCs w:val="19"/>
              </w:rPr>
              <w:t xml:space="preserve">Required</w:t>
            </w:r>
          </w:p>
        </w:tc>
        <w:tc>
          <w:tcPr>
            <w:tcW w:type="dxa" w:w="5200"/>
            <w:shd w:fill="1F2A44" w:val="clear"/>
            <w:tcMar>
              <w:top w:type="dxa" w:w="90"/>
              <w:left w:type="dxa" w:w="110"/>
              <w:bottom w:type="dxa" w:w="90"/>
              <w:right w:type="dxa" w:w="110"/>
            </w:tcMar>
          </w:tcPr>
          <w:p>
            <w:r>
              <w:rPr>
                <w:b/>
                <w:bCs/>
                <w:color w:val="FFFFFF"/>
                <w:sz w:val="19"/>
                <w:szCs w:val="19"/>
              </w:rPr>
              <w:t xml:space="preserve">Purpose / Where to obtain it</w:t>
            </w:r>
          </w:p>
        </w:tc>
      </w:tr>
      <w:tr>
        <w:tc>
          <w:tcPr>
            <w:tcW w:type="dxa" w:w="3200"/>
            <w:tcMar>
              <w:top w:type="dxa" w:w="90"/>
              <w:left w:type="dxa" w:w="110"/>
              <w:bottom w:type="dxa" w:w="90"/>
              <w:right w:type="dxa" w:w="110"/>
            </w:tcMar>
          </w:tcPr>
          <w:p>
            <w:r>
              <w:rPr>
                <w:b w:val="false"/>
                <w:bCs w:val="false"/>
                <w:color w:val="222222"/>
                <w:sz w:val="19"/>
                <w:szCs w:val="19"/>
              </w:rPr>
              <w:t xml:space="preserve">OPENAI_API_KEY</w:t>
            </w:r>
          </w:p>
        </w:tc>
        <w:tc>
          <w:tcPr>
            <w:tcW w:type="dxa" w:w="2200"/>
            <w:tcMar>
              <w:top w:type="dxa" w:w="90"/>
              <w:left w:type="dxa" w:w="110"/>
              <w:bottom w:type="dxa" w:w="90"/>
              <w:right w:type="dxa" w:w="110"/>
            </w:tcMar>
          </w:tcPr>
          <w:p>
            <w:r>
              <w:rPr>
                <w:b w:val="false"/>
                <w:bCs w:val="false"/>
                <w:color w:val="222222"/>
                <w:sz w:val="19"/>
                <w:szCs w:val="19"/>
              </w:rPr>
              <w:t xml:space="preserve">Yes</w:t>
            </w:r>
          </w:p>
        </w:tc>
        <w:tc>
          <w:tcPr>
            <w:tcW w:type="dxa" w:w="5200"/>
            <w:tcMar>
              <w:top w:type="dxa" w:w="90"/>
              <w:left w:type="dxa" w:w="110"/>
              <w:bottom w:type="dxa" w:w="90"/>
              <w:right w:type="dxa" w:w="110"/>
            </w:tcMar>
          </w:tcPr>
          <w:p>
            <w:r>
              <w:rPr>
                <w:b w:val="false"/>
                <w:bCs w:val="false"/>
                <w:color w:val="222222"/>
                <w:sz w:val="19"/>
                <w:szCs w:val="19"/>
              </w:rPr>
              <w:t xml:space="preserve">Authenticates calls to OpenAI for embeddings (text-embedding-3-small), chat completion (GPT-4 Turbo), and the Moderations API. Obtained from the OpenAI platform dashboard.</w:t>
            </w:r>
          </w:p>
        </w:tc>
      </w:tr>
      <w:tr>
        <w:tc>
          <w:tcPr>
            <w:tcW w:type="dxa" w:w="3200"/>
            <w:shd w:fill="EDF1F7" w:val="clear"/>
            <w:tcMar>
              <w:top w:type="dxa" w:w="90"/>
              <w:left w:type="dxa" w:w="110"/>
              <w:bottom w:type="dxa" w:w="90"/>
              <w:right w:type="dxa" w:w="110"/>
            </w:tcMar>
          </w:tcPr>
          <w:p>
            <w:r>
              <w:rPr>
                <w:b w:val="false"/>
                <w:bCs w:val="false"/>
                <w:color w:val="222222"/>
                <w:sz w:val="19"/>
                <w:szCs w:val="19"/>
              </w:rPr>
              <w:t xml:space="preserve">UPSTASH_REDIS_REST_URL</w:t>
            </w:r>
          </w:p>
        </w:tc>
        <w:tc>
          <w:tcPr>
            <w:tcW w:type="dxa" w:w="2200"/>
            <w:shd w:fill="EDF1F7" w:val="clear"/>
            <w:tcMar>
              <w:top w:type="dxa" w:w="90"/>
              <w:left w:type="dxa" w:w="110"/>
              <w:bottom w:type="dxa" w:w="90"/>
              <w:right w:type="dxa" w:w="110"/>
            </w:tcMar>
          </w:tcPr>
          <w:p>
            <w:r>
              <w:rPr>
                <w:b w:val="false"/>
                <w:bCs w:val="false"/>
                <w:color w:val="222222"/>
                <w:sz w:val="19"/>
                <w:szCs w:val="19"/>
              </w:rPr>
              <w:t xml:space="preserve">Yes</w:t>
            </w:r>
          </w:p>
        </w:tc>
        <w:tc>
          <w:tcPr>
            <w:tcW w:type="dxa" w:w="5200"/>
            <w:shd w:fill="EDF1F7" w:val="clear"/>
            <w:tcMar>
              <w:top w:type="dxa" w:w="90"/>
              <w:left w:type="dxa" w:w="110"/>
              <w:bottom w:type="dxa" w:w="90"/>
              <w:right w:type="dxa" w:w="110"/>
            </w:tcMar>
          </w:tcPr>
          <w:p>
            <w:r>
              <w:rPr>
                <w:b w:val="false"/>
                <w:bCs w:val="false"/>
                <w:color w:val="222222"/>
                <w:sz w:val="19"/>
                <w:szCs w:val="19"/>
              </w:rPr>
              <w:t xml:space="preserve">Base REST endpoint for the Upstash Redis database used for session storage. Obtained from the Upstash console.</w:t>
            </w:r>
          </w:p>
        </w:tc>
      </w:tr>
      <w:tr>
        <w:tc>
          <w:tcPr>
            <w:tcW w:type="dxa" w:w="3200"/>
            <w:tcMar>
              <w:top w:type="dxa" w:w="90"/>
              <w:left w:type="dxa" w:w="110"/>
              <w:bottom w:type="dxa" w:w="90"/>
              <w:right w:type="dxa" w:w="110"/>
            </w:tcMar>
          </w:tcPr>
          <w:p>
            <w:r>
              <w:rPr>
                <w:b w:val="false"/>
                <w:bCs w:val="false"/>
                <w:color w:val="222222"/>
                <w:sz w:val="19"/>
                <w:szCs w:val="19"/>
              </w:rPr>
              <w:t xml:space="preserve">UPSTASH_REDIS_REST_TOKEN</w:t>
            </w:r>
          </w:p>
        </w:tc>
        <w:tc>
          <w:tcPr>
            <w:tcW w:type="dxa" w:w="2200"/>
            <w:tcMar>
              <w:top w:type="dxa" w:w="90"/>
              <w:left w:type="dxa" w:w="110"/>
              <w:bottom w:type="dxa" w:w="90"/>
              <w:right w:type="dxa" w:w="110"/>
            </w:tcMar>
          </w:tcPr>
          <w:p>
            <w:r>
              <w:rPr>
                <w:b w:val="false"/>
                <w:bCs w:val="false"/>
                <w:color w:val="222222"/>
                <w:sz w:val="19"/>
                <w:szCs w:val="19"/>
              </w:rPr>
              <w:t xml:space="preserve">Yes</w:t>
            </w:r>
          </w:p>
        </w:tc>
        <w:tc>
          <w:tcPr>
            <w:tcW w:type="dxa" w:w="5200"/>
            <w:tcMar>
              <w:top w:type="dxa" w:w="90"/>
              <w:left w:type="dxa" w:w="110"/>
              <w:bottom w:type="dxa" w:w="90"/>
              <w:right w:type="dxa" w:w="110"/>
            </w:tcMar>
          </w:tcPr>
          <w:p>
            <w:r>
              <w:rPr>
                <w:b w:val="false"/>
                <w:bCs w:val="false"/>
                <w:color w:val="222222"/>
                <w:sz w:val="19"/>
                <w:szCs w:val="19"/>
              </w:rPr>
              <w:t xml:space="preserve">Authentication token paired with the REST URL above, for the Upstash Redis REST client.</w:t>
            </w:r>
          </w:p>
        </w:tc>
      </w:tr>
      <w:tr>
        <w:tc>
          <w:tcPr>
            <w:tcW w:type="dxa" w:w="3200"/>
            <w:shd w:fill="EDF1F7" w:val="clear"/>
            <w:tcMar>
              <w:top w:type="dxa" w:w="90"/>
              <w:left w:type="dxa" w:w="110"/>
              <w:bottom w:type="dxa" w:w="90"/>
              <w:right w:type="dxa" w:w="110"/>
            </w:tcMar>
          </w:tcPr>
          <w:p>
            <w:r>
              <w:rPr>
                <w:b w:val="false"/>
                <w:bCs w:val="false"/>
                <w:color w:val="222222"/>
                <w:sz w:val="19"/>
                <w:szCs w:val="19"/>
              </w:rPr>
              <w:t xml:space="preserve">CHROMA_API_KEY</w:t>
            </w:r>
          </w:p>
        </w:tc>
        <w:tc>
          <w:tcPr>
            <w:tcW w:type="dxa" w:w="2200"/>
            <w:shd w:fill="EDF1F7" w:val="clear"/>
            <w:tcMar>
              <w:top w:type="dxa" w:w="90"/>
              <w:left w:type="dxa" w:w="110"/>
              <w:bottom w:type="dxa" w:w="90"/>
              <w:right w:type="dxa" w:w="110"/>
            </w:tcMar>
          </w:tcPr>
          <w:p>
            <w:r>
              <w:rPr>
                <w:b w:val="false"/>
                <w:bCs w:val="false"/>
                <w:color w:val="222222"/>
                <w:sz w:val="19"/>
                <w:szCs w:val="19"/>
              </w:rPr>
              <w:t xml:space="preserve">Yes</w:t>
            </w:r>
          </w:p>
        </w:tc>
        <w:tc>
          <w:tcPr>
            <w:tcW w:type="dxa" w:w="5200"/>
            <w:shd w:fill="EDF1F7" w:val="clear"/>
            <w:tcMar>
              <w:top w:type="dxa" w:w="90"/>
              <w:left w:type="dxa" w:w="110"/>
              <w:bottom w:type="dxa" w:w="90"/>
              <w:right w:type="dxa" w:w="110"/>
            </w:tcMar>
          </w:tcPr>
          <w:p>
            <w:r>
              <w:rPr>
                <w:b w:val="false"/>
                <w:bCs w:val="false"/>
                <w:color w:val="222222"/>
                <w:sz w:val="19"/>
                <w:szCs w:val="19"/>
              </w:rPr>
              <w:t xml:space="preserve">Authenticates the application with ChromaDB Cloud, where the legal document embeddings are stored.</w:t>
            </w:r>
          </w:p>
        </w:tc>
      </w:tr>
      <w:tr>
        <w:tc>
          <w:tcPr>
            <w:tcW w:type="dxa" w:w="3200"/>
            <w:tcMar>
              <w:top w:type="dxa" w:w="90"/>
              <w:left w:type="dxa" w:w="110"/>
              <w:bottom w:type="dxa" w:w="90"/>
              <w:right w:type="dxa" w:w="110"/>
            </w:tcMar>
          </w:tcPr>
          <w:p>
            <w:r>
              <w:rPr>
                <w:b w:val="false"/>
                <w:bCs w:val="false"/>
                <w:color w:val="222222"/>
                <w:sz w:val="19"/>
                <w:szCs w:val="19"/>
              </w:rPr>
              <w:t xml:space="preserve">CHROMA_TENANT</w:t>
            </w:r>
          </w:p>
        </w:tc>
        <w:tc>
          <w:tcPr>
            <w:tcW w:type="dxa" w:w="2200"/>
            <w:tcMar>
              <w:top w:type="dxa" w:w="90"/>
              <w:left w:type="dxa" w:w="110"/>
              <w:bottom w:type="dxa" w:w="90"/>
              <w:right w:type="dxa" w:w="110"/>
            </w:tcMar>
          </w:tcPr>
          <w:p>
            <w:r>
              <w:rPr>
                <w:b w:val="false"/>
                <w:bCs w:val="false"/>
                <w:color w:val="222222"/>
                <w:sz w:val="19"/>
                <w:szCs w:val="19"/>
              </w:rPr>
              <w:t xml:space="preserve">Yes</w:t>
            </w:r>
          </w:p>
        </w:tc>
        <w:tc>
          <w:tcPr>
            <w:tcW w:type="dxa" w:w="5200"/>
            <w:tcMar>
              <w:top w:type="dxa" w:w="90"/>
              <w:left w:type="dxa" w:w="110"/>
              <w:bottom w:type="dxa" w:w="90"/>
              <w:right w:type="dxa" w:w="110"/>
            </w:tcMar>
          </w:tcPr>
          <w:p>
            <w:r>
              <w:rPr>
                <w:b w:val="false"/>
                <w:bCs w:val="false"/>
                <w:color w:val="222222"/>
                <w:sz w:val="19"/>
                <w:szCs w:val="19"/>
              </w:rPr>
              <w:t xml:space="preserve">Identifies the ChromaDB Cloud tenant that owns the collection.</w:t>
            </w:r>
          </w:p>
        </w:tc>
      </w:tr>
      <w:tr>
        <w:tc>
          <w:tcPr>
            <w:tcW w:type="dxa" w:w="3200"/>
            <w:shd w:fill="EDF1F7" w:val="clear"/>
            <w:tcMar>
              <w:top w:type="dxa" w:w="90"/>
              <w:left w:type="dxa" w:w="110"/>
              <w:bottom w:type="dxa" w:w="90"/>
              <w:right w:type="dxa" w:w="110"/>
            </w:tcMar>
          </w:tcPr>
          <w:p>
            <w:r>
              <w:rPr>
                <w:b w:val="false"/>
                <w:bCs w:val="false"/>
                <w:color w:val="222222"/>
                <w:sz w:val="19"/>
                <w:szCs w:val="19"/>
              </w:rPr>
              <w:t xml:space="preserve">CHROMA_DATABASE</w:t>
            </w:r>
          </w:p>
        </w:tc>
        <w:tc>
          <w:tcPr>
            <w:tcW w:type="dxa" w:w="2200"/>
            <w:shd w:fill="EDF1F7" w:val="clear"/>
            <w:tcMar>
              <w:top w:type="dxa" w:w="90"/>
              <w:left w:type="dxa" w:w="110"/>
              <w:bottom w:type="dxa" w:w="90"/>
              <w:right w:type="dxa" w:w="110"/>
            </w:tcMar>
          </w:tcPr>
          <w:p>
            <w:r>
              <w:rPr>
                <w:b w:val="false"/>
                <w:bCs w:val="false"/>
                <w:color w:val="222222"/>
                <w:sz w:val="19"/>
                <w:szCs w:val="19"/>
              </w:rPr>
              <w:t xml:space="preserve">Yes</w:t>
            </w:r>
          </w:p>
        </w:tc>
        <w:tc>
          <w:tcPr>
            <w:tcW w:type="dxa" w:w="5200"/>
            <w:shd w:fill="EDF1F7" w:val="clear"/>
            <w:tcMar>
              <w:top w:type="dxa" w:w="90"/>
              <w:left w:type="dxa" w:w="110"/>
              <w:bottom w:type="dxa" w:w="90"/>
              <w:right w:type="dxa" w:w="110"/>
            </w:tcMar>
          </w:tcPr>
          <w:p>
            <w:r>
              <w:rPr>
                <w:b w:val="false"/>
                <w:bCs w:val="false"/>
                <w:color w:val="222222"/>
                <w:sz w:val="19"/>
                <w:szCs w:val="19"/>
              </w:rPr>
              <w:t xml:space="preserve">Identifies the specific ChromaDB Cloud database within the tenant.</w:t>
            </w:r>
          </w:p>
        </w:tc>
      </w:tr>
      <w:tr>
        <w:tc>
          <w:tcPr>
            <w:tcW w:type="dxa" w:w="3200"/>
            <w:tcMar>
              <w:top w:type="dxa" w:w="90"/>
              <w:left w:type="dxa" w:w="110"/>
              <w:bottom w:type="dxa" w:w="90"/>
              <w:right w:type="dxa" w:w="110"/>
            </w:tcMar>
          </w:tcPr>
          <w:p>
            <w:r>
              <w:rPr>
                <w:b w:val="false"/>
                <w:bCs w:val="false"/>
                <w:color w:val="222222"/>
                <w:sz w:val="19"/>
                <w:szCs w:val="19"/>
              </w:rPr>
              <w:t xml:space="preserve">COLLECTION_NAME</w:t>
            </w:r>
          </w:p>
        </w:tc>
        <w:tc>
          <w:tcPr>
            <w:tcW w:type="dxa" w:w="2200"/>
            <w:tcMar>
              <w:top w:type="dxa" w:w="90"/>
              <w:left w:type="dxa" w:w="110"/>
              <w:bottom w:type="dxa" w:w="90"/>
              <w:right w:type="dxa" w:w="110"/>
            </w:tcMar>
          </w:tcPr>
          <w:p>
            <w:r>
              <w:rPr>
                <w:b w:val="false"/>
                <w:bCs w:val="false"/>
                <w:color w:val="222222"/>
                <w:sz w:val="19"/>
                <w:szCs w:val="19"/>
              </w:rPr>
              <w:t xml:space="preserve">No (default: legal_docs)</w:t>
            </w:r>
          </w:p>
        </w:tc>
        <w:tc>
          <w:tcPr>
            <w:tcW w:type="dxa" w:w="5200"/>
            <w:tcMar>
              <w:top w:type="dxa" w:w="90"/>
              <w:left w:type="dxa" w:w="110"/>
              <w:bottom w:type="dxa" w:w="90"/>
              <w:right w:type="dxa" w:w="110"/>
            </w:tcMar>
          </w:tcPr>
          <w:p>
            <w:r>
              <w:rPr>
                <w:b w:val="false"/>
                <w:bCs w:val="false"/>
                <w:color w:val="222222"/>
                <w:sz w:val="19"/>
                <w:szCs w:val="19"/>
              </w:rPr>
              <w:t xml:space="preserve">Name of the ChromaDB collection holding the legal document embeddings.</w:t>
            </w:r>
          </w:p>
        </w:tc>
      </w:tr>
      <w:tr>
        <w:tc>
          <w:tcPr>
            <w:tcW w:type="dxa" w:w="3200"/>
            <w:shd w:fill="EDF1F7" w:val="clear"/>
            <w:tcMar>
              <w:top w:type="dxa" w:w="90"/>
              <w:left w:type="dxa" w:w="110"/>
              <w:bottom w:type="dxa" w:w="90"/>
              <w:right w:type="dxa" w:w="110"/>
            </w:tcMar>
          </w:tcPr>
          <w:p>
            <w:r>
              <w:rPr>
                <w:b w:val="false"/>
                <w:bCs w:val="false"/>
                <w:color w:val="222222"/>
                <w:sz w:val="19"/>
                <w:szCs w:val="19"/>
              </w:rPr>
              <w:t xml:space="preserve">TOP_K</w:t>
            </w:r>
          </w:p>
        </w:tc>
        <w:tc>
          <w:tcPr>
            <w:tcW w:type="dxa" w:w="2200"/>
            <w:shd w:fill="EDF1F7" w:val="clear"/>
            <w:tcMar>
              <w:top w:type="dxa" w:w="90"/>
              <w:left w:type="dxa" w:w="110"/>
              <w:bottom w:type="dxa" w:w="90"/>
              <w:right w:type="dxa" w:w="110"/>
            </w:tcMar>
          </w:tcPr>
          <w:p>
            <w:r>
              <w:rPr>
                <w:b w:val="false"/>
                <w:bCs w:val="false"/>
                <w:color w:val="222222"/>
                <w:sz w:val="19"/>
                <w:szCs w:val="19"/>
              </w:rPr>
              <w:t xml:space="preserve">No (default: 7)</w:t>
            </w:r>
          </w:p>
        </w:tc>
        <w:tc>
          <w:tcPr>
            <w:tcW w:type="dxa" w:w="5200"/>
            <w:shd w:fill="EDF1F7" w:val="clear"/>
            <w:tcMar>
              <w:top w:type="dxa" w:w="90"/>
              <w:left w:type="dxa" w:w="110"/>
              <w:bottom w:type="dxa" w:w="90"/>
              <w:right w:type="dxa" w:w="110"/>
            </w:tcMar>
          </w:tcPr>
          <w:p>
            <w:r>
              <w:rPr>
                <w:b w:val="false"/>
                <w:bCs w:val="false"/>
                <w:color w:val="222222"/>
                <w:sz w:val="19"/>
                <w:szCs w:val="19"/>
              </w:rPr>
              <w:t xml:space="preserve">Number of similar documents retrieved per query.</w:t>
            </w:r>
          </w:p>
        </w:tc>
      </w:tr>
      <w:tr>
        <w:tc>
          <w:tcPr>
            <w:tcW w:type="dxa" w:w="3200"/>
            <w:tcMar>
              <w:top w:type="dxa" w:w="90"/>
              <w:left w:type="dxa" w:w="110"/>
              <w:bottom w:type="dxa" w:w="90"/>
              <w:right w:type="dxa" w:w="110"/>
            </w:tcMar>
          </w:tcPr>
          <w:p>
            <w:r>
              <w:rPr>
                <w:b w:val="false"/>
                <w:bCs w:val="false"/>
                <w:color w:val="222222"/>
                <w:sz w:val="19"/>
                <w:szCs w:val="19"/>
              </w:rPr>
              <w:t xml:space="preserve">SESSION_TIMEOUT_MIN</w:t>
            </w:r>
          </w:p>
        </w:tc>
        <w:tc>
          <w:tcPr>
            <w:tcW w:type="dxa" w:w="2200"/>
            <w:tcMar>
              <w:top w:type="dxa" w:w="90"/>
              <w:left w:type="dxa" w:w="110"/>
              <w:bottom w:type="dxa" w:w="90"/>
              <w:right w:type="dxa" w:w="110"/>
            </w:tcMar>
          </w:tcPr>
          <w:p>
            <w:r>
              <w:rPr>
                <w:b w:val="false"/>
                <w:bCs w:val="false"/>
                <w:color w:val="222222"/>
                <w:sz w:val="19"/>
                <w:szCs w:val="19"/>
              </w:rPr>
              <w:t xml:space="preserve">No (default: 30)</w:t>
            </w:r>
          </w:p>
        </w:tc>
        <w:tc>
          <w:tcPr>
            <w:tcW w:type="dxa" w:w="5200"/>
            <w:tcMar>
              <w:top w:type="dxa" w:w="90"/>
              <w:left w:type="dxa" w:w="110"/>
              <w:bottom w:type="dxa" w:w="90"/>
              <w:right w:type="dxa" w:w="110"/>
            </w:tcMar>
          </w:tcPr>
          <w:p>
            <w:r>
              <w:rPr>
                <w:b w:val="false"/>
                <w:bCs w:val="false"/>
                <w:color w:val="222222"/>
                <w:sz w:val="19"/>
                <w:szCs w:val="19"/>
              </w:rPr>
              <w:t xml:space="preserve">Sliding session expiry, in minutes.</w:t>
            </w:r>
          </w:p>
        </w:tc>
      </w:tr>
      <w:tr>
        <w:tc>
          <w:tcPr>
            <w:tcW w:type="dxa" w:w="3200"/>
            <w:shd w:fill="EDF1F7" w:val="clear"/>
            <w:tcMar>
              <w:top w:type="dxa" w:w="90"/>
              <w:left w:type="dxa" w:w="110"/>
              <w:bottom w:type="dxa" w:w="90"/>
              <w:right w:type="dxa" w:w="110"/>
            </w:tcMar>
          </w:tcPr>
          <w:p>
            <w:r>
              <w:rPr>
                <w:b w:val="false"/>
                <w:bCs w:val="false"/>
                <w:color w:val="222222"/>
                <w:sz w:val="19"/>
                <w:szCs w:val="19"/>
              </w:rPr>
              <w:t xml:space="preserve">RATE_LIMIT</w:t>
            </w:r>
          </w:p>
        </w:tc>
        <w:tc>
          <w:tcPr>
            <w:tcW w:type="dxa" w:w="2200"/>
            <w:shd w:fill="EDF1F7" w:val="clear"/>
            <w:tcMar>
              <w:top w:type="dxa" w:w="90"/>
              <w:left w:type="dxa" w:w="110"/>
              <w:bottom w:type="dxa" w:w="90"/>
              <w:right w:type="dxa" w:w="110"/>
            </w:tcMar>
          </w:tcPr>
          <w:p>
            <w:r>
              <w:rPr>
                <w:b w:val="false"/>
                <w:bCs w:val="false"/>
                <w:color w:val="222222"/>
                <w:sz w:val="19"/>
                <w:szCs w:val="19"/>
              </w:rPr>
              <w:t xml:space="preserve">No (default: 60/minute)</w:t>
            </w:r>
          </w:p>
        </w:tc>
        <w:tc>
          <w:tcPr>
            <w:tcW w:type="dxa" w:w="5200"/>
            <w:shd w:fill="EDF1F7" w:val="clear"/>
            <w:tcMar>
              <w:top w:type="dxa" w:w="90"/>
              <w:left w:type="dxa" w:w="110"/>
              <w:bottom w:type="dxa" w:w="90"/>
              <w:right w:type="dxa" w:w="110"/>
            </w:tcMar>
          </w:tcPr>
          <w:p>
            <w:r>
              <w:rPr>
                <w:b w:val="false"/>
                <w:bCs w:val="false"/>
                <w:color w:val="222222"/>
                <w:sz w:val="19"/>
                <w:szCs w:val="19"/>
              </w:rPr>
              <w:t xml:space="preserve">Per-IP request limit enforced by SlowAPI.</w:t>
            </w:r>
          </w:p>
        </w:tc>
      </w:tr>
      <w:tr>
        <w:tc>
          <w:tcPr>
            <w:tcW w:type="dxa" w:w="3200"/>
            <w:tcMar>
              <w:top w:type="dxa" w:w="90"/>
              <w:left w:type="dxa" w:w="110"/>
              <w:bottom w:type="dxa" w:w="90"/>
              <w:right w:type="dxa" w:w="110"/>
            </w:tcMar>
          </w:tcPr>
          <w:p>
            <w:r>
              <w:rPr>
                <w:b w:val="false"/>
                <w:bCs w:val="false"/>
                <w:color w:val="222222"/>
                <w:sz w:val="19"/>
                <w:szCs w:val="19"/>
              </w:rPr>
              <w:t xml:space="preserve">RELEVANCE_THRESHOLD</w:t>
            </w:r>
          </w:p>
        </w:tc>
        <w:tc>
          <w:tcPr>
            <w:tcW w:type="dxa" w:w="2200"/>
            <w:tcMar>
              <w:top w:type="dxa" w:w="90"/>
              <w:left w:type="dxa" w:w="110"/>
              <w:bottom w:type="dxa" w:w="90"/>
              <w:right w:type="dxa" w:w="110"/>
            </w:tcMar>
          </w:tcPr>
          <w:p>
            <w:r>
              <w:rPr>
                <w:b w:val="false"/>
                <w:bCs w:val="false"/>
                <w:color w:val="222222"/>
                <w:sz w:val="19"/>
                <w:szCs w:val="19"/>
              </w:rPr>
              <w:t xml:space="preserve">No (default: 0.75)</w:t>
            </w:r>
          </w:p>
        </w:tc>
        <w:tc>
          <w:tcPr>
            <w:tcW w:type="dxa" w:w="5200"/>
            <w:tcMar>
              <w:top w:type="dxa" w:w="90"/>
              <w:left w:type="dxa" w:w="110"/>
              <w:bottom w:type="dxa" w:w="90"/>
              <w:right w:type="dxa" w:w="110"/>
            </w:tcMar>
          </w:tcPr>
          <w:p>
            <w:r>
              <w:rPr>
                <w:b w:val="false"/>
                <w:bCs w:val="false"/>
                <w:color w:val="222222"/>
                <w:sz w:val="19"/>
                <w:szCs w:val="19"/>
              </w:rPr>
              <w:t xml:space="preserve">Distance score above which retrieval is treated as having found nothing usable.</w:t>
            </w:r>
          </w:p>
        </w:tc>
      </w:tr>
    </w:tbl>
    <w:p>
      <w:pPr>
        <w:spacing w:after="160" w:line="300"/>
      </w:pPr>
      <w:r>
        <w:rPr>
          <w:color w:val="222222"/>
          <w:sz w:val="21"/>
          <w:szCs w:val="21"/>
        </w:rPr>
        <w:t xml:space="preserve">None of these keys are ever sent to, or read by, the browser — the front end only ever calls the application's own /query, /session/*, and /health endpoints on the same origin, using the session cookie for identity.</w:t>
      </w:r>
    </w:p>
    <w:p>
      <w:pPr>
        <w:pStyle w:val="Heading1"/>
        <w:pBdr>
          <w:bottom w:val="single" w:color="2E5AA8" w:sz="6" w:space="4"/>
        </w:pBdr>
        <w:spacing w:after="200" w:before="400"/>
      </w:pPr>
      <w:r>
        <w:rPr>
          <w:b/>
          <w:bCs/>
          <w:color w:val="1F2A44"/>
          <w:sz w:val="30"/>
          <w:szCs w:val="30"/>
        </w:rPr>
        <w:t xml:space="preserve">13. Deployment Notes</w:t>
      </w:r>
    </w:p>
    <w:p>
      <w:pPr>
        <w:spacing w:after="160" w:line="300"/>
      </w:pPr>
      <w:r>
        <w:rPr>
          <w:color w:val="222222"/>
          <w:sz w:val="21"/>
          <w:szCs w:val="21"/>
        </w:rPr>
        <w:t xml:space="preserve">The application launches with Uvicorn (an ASGI server), listening on the port given by the PORT environment variable and defaulting to 7860, with four worker processes for concurrency. Static assets are served from a local static/ directory, and the single-page front end (index.html) is served at the root path.</w:t>
      </w:r>
    </w:p>
    <w:p>
      <w:pPr>
        <w:spacing w:after="160" w:line="300"/>
      </w:pPr>
      <w:r>
        <w:rPr>
          <w:color w:val="222222"/>
          <w:sz w:val="21"/>
          <w:szCs w:val="21"/>
        </w:rPr>
        <w:t xml:space="preserve">Because Redis is accessed over Upstash's REST API rather than the native Redis protocol, and ChromaDB is accessed as a managed cloud service, the backend itself can be deployed on any container platform without needing to co-locate stateful infrastructure — the only outbound dependencies are OpenAI, Upstash, and ChromaDB Cloud.</w:t>
      </w:r>
    </w:p>
    <w:p>
      <w:pPr>
        <w:pStyle w:val="Heading1"/>
        <w:pBdr>
          <w:bottom w:val="single" w:color="2E5AA8" w:sz="6" w:space="4"/>
        </w:pBdr>
        <w:spacing w:after="200" w:before="400"/>
      </w:pPr>
      <w:r>
        <w:rPr>
          <w:b/>
          <w:bCs/>
          <w:color w:val="1F2A44"/>
          <w:sz w:val="30"/>
          <w:szCs w:val="30"/>
        </w:rPr>
        <w:t xml:space="preserve">14. Known Limitations &amp; Considerations</w:t>
      </w:r>
    </w:p>
    <w:p>
      <w:pPr>
        <w:pStyle w:val="ListParagraph"/>
        <w:numPr>
          <w:ilvl w:val="0"/>
          <w:numId w:val="2"/>
        </w:numPr>
        <w:spacing w:after="90" w:line="280"/>
      </w:pPr>
      <w:r>
        <w:rPr>
          <w:color w:val="222222"/>
          <w:sz w:val="21"/>
          <w:szCs w:val="21"/>
        </w:rPr>
        <w:t xml:space="preserve">CORS is currently configured to allow all origins, methods, and headers with credentials enabled — a permissive setting worth tightening to specific known origins before production use.</w:t>
      </w:r>
    </w:p>
    <w:p>
      <w:pPr>
        <w:pStyle w:val="ListParagraph"/>
        <w:numPr>
          <w:ilvl w:val="0"/>
          <w:numId w:val="2"/>
        </w:numPr>
        <w:spacing w:after="90" w:line="280"/>
      </w:pPr>
      <w:r>
        <w:rPr>
          <w:color w:val="222222"/>
          <w:sz w:val="21"/>
          <w:szCs w:val="21"/>
        </w:rPr>
        <w:t xml:space="preserve">Moderation fails open on error, meaning a transient OpenAI outage would allow unmoderated content through rather than blocking it — acceptable for availability, but worth revisiting for stricter compliance needs.</w:t>
      </w:r>
    </w:p>
    <w:p>
      <w:pPr>
        <w:pStyle w:val="ListParagraph"/>
        <w:numPr>
          <w:ilvl w:val="0"/>
          <w:numId w:val="2"/>
        </w:numPr>
        <w:spacing w:after="90" w:line="280"/>
      </w:pPr>
      <w:r>
        <w:rPr>
          <w:color w:val="222222"/>
          <w:sz w:val="21"/>
          <w:szCs w:val="21"/>
        </w:rPr>
        <w:t xml:space="preserve">Query classification and non-legal detection rely on keyword matching, so phrasing that avoids the listed keywords could bypass the intended scoping in either direction (a legal question misclassified as a greeting, or vice versa).</w:t>
      </w:r>
    </w:p>
    <w:p>
      <w:pPr>
        <w:pStyle w:val="ListParagraph"/>
        <w:numPr>
          <w:ilvl w:val="0"/>
          <w:numId w:val="2"/>
        </w:numPr>
        <w:spacing w:after="90" w:line="280"/>
      </w:pPr>
      <w:r>
        <w:rPr>
          <w:color w:val="222222"/>
          <w:sz w:val="21"/>
          <w:szCs w:val="21"/>
        </w:rPr>
        <w:t xml:space="preserve">Session history is capped at five exchanges and 30 minutes of inactivity, so long or resumed conversations will lose earlier context.</w:t>
      </w:r>
    </w:p>
    <w:p>
      <w:pPr>
        <w:pStyle w:val="ListParagraph"/>
        <w:numPr>
          <w:ilvl w:val="0"/>
          <w:numId w:val="2"/>
        </w:numPr>
        <w:spacing w:after="90" w:line="280"/>
      </w:pPr>
      <w:r>
        <w:rPr>
          <w:color w:val="222222"/>
          <w:sz w:val="21"/>
          <w:szCs w:val="21"/>
        </w:rPr>
        <w:t xml:space="preserve">The system provides general legal information and is explicitly not a substitute for advice from a qualified solicitor, as noted in the front-end disclaimer.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2026-08-20T06:32:54.895Z</dcterms:created>
  <dcterms:modified xsi:type="dcterms:W3CDTF">2026-08-20T06:32:54.908Z</dcterms:modified>
</cp:coreProperties>
</file>

<file path=docProps/custom.xml><?xml version="1.0" encoding="utf-8"?>
<Properties xmlns="http://schemas.openxmlformats.org/officeDocument/2006/custom-properties" xmlns:vt="http://schemas.openxmlformats.org/officeDocument/2006/docPropsVTypes"/>
</file>