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Defect Report</w:t>
      </w:r>
    </w:p>
    <w:p>
      <w:r>
        <w:rPr>
          <w:b/>
        </w:rPr>
        <w:t xml:space="preserve">Application: </w:t>
      </w:r>
      <w:r>
        <w:t>Tichi Web Application (Stage)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Field</w:t>
            </w:r>
          </w:p>
        </w:tc>
        <w:tc>
          <w:tcPr>
            <w:tcW w:type="dxa" w:w="4320"/>
          </w:tcPr>
          <w:p>
            <w:r>
              <w:t xml:space="preserve">Details</w:t>
            </w:r>
          </w:p>
        </w:tc>
      </w:tr>
      <w:tr>
        <w:tc>
          <w:tcPr>
            <w:tcW w:type="dxa" w:w="4320"/>
          </w:tcPr>
          <w:p>
            <w:r>
              <w:t xml:space="preserve">Bug ID</w:t>
            </w:r>
          </w:p>
        </w:tc>
        <w:tc>
          <w:tcPr>
            <w:tcW w:type="dxa" w:w="4320"/>
          </w:tcPr>
          <w:p>
            <w:r>
              <w:t xml:space="preserve">BUG-001</w:t>
            </w:r>
          </w:p>
        </w:tc>
      </w:tr>
      <w:tr>
        <w:tc>
          <w:tcPr>
            <w:tcW w:type="dxa" w:w="4320"/>
          </w:tcPr>
          <w:p>
            <w:r>
              <w:t xml:space="preserve">Title</w:t>
            </w:r>
          </w:p>
        </w:tc>
        <w:tc>
          <w:tcPr>
            <w:tcW w:type="dxa" w:w="4320"/>
          </w:tcPr>
          <w:p>
            <w:r>
              <w:t xml:space="preserve">Invalid email format is accepted on the initial login screen before validation.</w:t>
            </w:r>
          </w:p>
        </w:tc>
      </w:tr>
      <w:tr>
        <w:tc>
          <w:tcPr>
            <w:tcW w:type="dxa" w:w="4320"/>
          </w:tcPr>
          <w:p>
            <w:r>
              <w:t xml:space="preserve">Module</w:t>
            </w:r>
          </w:p>
        </w:tc>
        <w:tc>
          <w:tcPr>
            <w:tcW w:type="dxa" w:w="4320"/>
          </w:tcPr>
          <w:p>
            <w:r>
              <w:t xml:space="preserve">Login / Email Validation</w:t>
            </w:r>
          </w:p>
        </w:tc>
      </w:tr>
      <w:tr>
        <w:tc>
          <w:tcPr>
            <w:tcW w:type="dxa" w:w="4320"/>
          </w:tcPr>
          <w:p>
            <w:r>
              <w:t xml:space="preserve">Environment</w:t>
            </w:r>
          </w:p>
        </w:tc>
        <w:tc>
          <w:tcPr>
            <w:tcW w:type="dxa" w:w="4320"/>
          </w:tcPr>
          <w:p>
            <w:r>
              <w:t xml:space="preserve">Windows 11, Google Chrome (Latest), Stage Environment</w:t>
            </w:r>
          </w:p>
        </w:tc>
      </w:tr>
      <w:tr>
        <w:tc>
          <w:tcPr>
            <w:tcW w:type="dxa" w:w="4320"/>
          </w:tcPr>
          <w:p>
            <w:r>
              <w:t xml:space="preserve">Severity</w:t>
            </w:r>
          </w:p>
        </w:tc>
        <w:tc>
          <w:tcPr>
            <w:tcW w:type="dxa" w:w="4320"/>
          </w:tcPr>
          <w:p>
            <w:r>
              <w:t xml:space="preserve">Medium</w:t>
            </w:r>
          </w:p>
        </w:tc>
      </w:tr>
      <w:tr>
        <w:tc>
          <w:tcPr>
            <w:tcW w:type="dxa" w:w="4320"/>
          </w:tcPr>
          <w:p>
            <w:r>
              <w:t xml:space="preserve">Priority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 xml:space="preserve">Status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 xml:space="preserve">Reported By</w:t>
            </w:r>
          </w:p>
        </w:tc>
        <w:tc>
          <w:tcPr>
            <w:tcW w:type="dxa" w:w="4320"/>
          </w:tcPr>
          <w:p>
            <w:r>
              <w:t xml:space="preserve">QA Tester</w:t>
            </w:r>
          </w:p>
        </w:tc>
      </w:tr>
      <w:tr>
        <w:tc>
          <w:tcPr>
            <w:tcW w:type="dxa" w:w="4320"/>
          </w:tcPr>
          <w:p>
            <w:r>
              <w:t xml:space="preserve">Description</w:t>
            </w:r>
          </w:p>
        </w:tc>
        <w:tc>
          <w:tcPr>
            <w:tcW w:type="dxa" w:w="4320"/>
          </w:tcPr>
          <w:p>
            <w:r>
              <w:t xml:space="preserve">The application allows </w:t>
            </w:r>
            <w:r>
              <w:rPr>
                <w:b/>
              </w:rPr>
              <w:t xml:space="preserve">ab..cd@gmail.com</w:t>
            </w:r>
            <w:r>
              <w:t xml:space="preserve"> to proceed to the next screen without validating the email format. Other invalid formats are rejected correctly, so this behaviour is inconsistent.</w:t>
            </w:r>
          </w:p>
        </w:tc>
      </w:tr>
      <w:tr>
        <w:tc>
          <w:tcPr>
            <w:tcW w:type="dxa" w:w="4320"/>
          </w:tcPr>
          <w:p>
            <w:r>
              <w:t xml:space="preserve">Preconditions</w:t>
            </w:r>
          </w:p>
        </w:tc>
        <w:tc>
          <w:tcPr>
            <w:tcW w:type="dxa" w:w="4320"/>
          </w:tcPr>
          <w:p>
            <w:r>
              <w:t xml:space="preserve">Application is running.</w:t>
              <w:br/>
              <w:t xml:space="preserve">User is on the Sign In page.</w:t>
            </w:r>
          </w:p>
        </w:tc>
      </w:tr>
      <w:tr>
        <w:tc>
          <w:tcPr>
            <w:tcW w:type="dxa" w:w="4320"/>
          </w:tcPr>
          <w:p>
            <w:r>
              <w:t xml:space="preserve">Steps to Reproduce</w:t>
            </w:r>
          </w:p>
        </w:tc>
        <w:tc>
          <w:tcPr>
            <w:tcW w:type="dxa" w:w="4320"/>
          </w:tcPr>
          <w:p>
            <w:r>
              <w:t xml:space="preserve">1. Open the application and enter ab..cd@gmail.com in the Email field.</w:t>
              <w:br/>
              <w:t xml:space="preserve">2. Click Continue and observe the behaviour.</w:t>
              <w:br/>
              <w:t xml:space="preserve">3. Repeat using abcgmail.com, abc@, and @gmail.com.</w:t>
              <w:br/>
              <w:t xml:space="preserve">4. Compare the validation behaviour for each format.</w:t>
            </w:r>
          </w:p>
        </w:tc>
      </w:tr>
      <w:tr>
        <w:tc>
          <w:tcPr>
            <w:tcW w:type="dxa" w:w="4320"/>
          </w:tcPr>
          <w:p>
            <w:r>
              <w:t xml:space="preserve">Expected Result</w:t>
            </w:r>
          </w:p>
        </w:tc>
        <w:tc>
          <w:tcPr>
            <w:tcW w:type="dxa" w:w="4320"/>
          </w:tcPr>
          <w:p>
            <w:r>
              <w:t xml:space="preserve">All invalid email formats should be validated consistently on the Sign In page, with navigation blocked until a valid email is entered.</w:t>
            </w:r>
          </w:p>
        </w:tc>
      </w:tr>
      <w:tr>
        <w:tc>
          <w:tcPr>
            <w:tcW w:type="dxa" w:w="4320"/>
          </w:tcPr>
          <w:p>
            <w:r>
              <w:t xml:space="preserve">Actual Result</w:t>
            </w:r>
          </w:p>
        </w:tc>
        <w:tc>
          <w:tcPr>
            <w:tcW w:type="dxa" w:w="4320"/>
          </w:tcPr>
          <w:p>
            <w:r>
              <w:t xml:space="preserve">ab..cd@gmail.com was allowed to navigate to the next page, with validation shown only afterward. Other invalid formats were rejected correctly on the first page.</w:t>
            </w:r>
          </w:p>
        </w:tc>
      </w:tr>
      <w:tr>
        <w:tc>
          <w:tcPr>
            <w:tcW w:type="dxa" w:w="4320"/>
          </w:tcPr>
          <w:p>
            <w:r>
              <w:t xml:space="preserve">Impact</w:t>
            </w:r>
          </w:p>
        </w:tc>
        <w:tc>
          <w:tcPr>
            <w:tcW w:type="dxa" w:w="4320"/>
          </w:tcPr>
          <w:p>
            <w:r>
              <w:t xml:space="preserve">Inconsistent validation may confuse users, since some invalid formats are blocked immediately while others pass through unvalidated.</w:t>
            </w:r>
          </w:p>
        </w:tc>
      </w:tr>
      <w:tr>
        <w:tc>
          <w:tcPr>
            <w:tcW w:type="dxa" w:w="4320"/>
          </w:tcPr>
          <w:p>
            <w:r>
              <w:t xml:space="preserve">Recommendation</w:t>
            </w:r>
          </w:p>
        </w:tc>
        <w:tc>
          <w:tcPr>
            <w:tcW w:type="dxa" w:w="4320"/>
          </w:tcPr>
          <w:p>
            <w:r>
              <w:t xml:space="preserve">Apply the same email validation rules on the Sign In page for all invalid formats before allowing navigation.</w:t>
            </w:r>
          </w:p>
        </w:tc>
      </w:tr>
    </w:tbl>
    <w:p>
      <w:pPr>
        <w:pStyle w:val="Heading2"/>
      </w:pPr>
      <w:r>
        <w:t>Attachment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72000" cy="2344492"/>
            <wp:effectExtent l="0" t="0" r="0" b="0"/>
            <wp:docPr id="0" name="Screensh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1"/>
                    <pic:cNvPicPr/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Figure 1: Initial Sign In page showing the email address entered before clicking the Continue button.</w:t>
      </w:r>
    </w:p>
    <w:p>
      <w:r>
        <w:t xml:space="preserve">The Sign In page with </w:t>
      </w:r>
      <w:r>
        <w:rPr>
          <w:b/>
        </w:rPr>
        <w:t xml:space="preserve">ab..cd@gmail.com</w:t>
      </w:r>
      <w:r>
        <w:t xml:space="preserve"> entered, before proceeding to the next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91840" cy="2111318"/>
            <wp:effectExtent l="0" t="0" r="0" b="0"/>
            <wp:docPr id="1" name="Screensh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2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Figure 2: The application navigates to the next page after entering the email address </w:t>
      </w:r>
      <w:r>
        <w:rPr>
          <w:i/>
          <w:b/>
        </w:rPr>
        <w:t xml:space="preserve">ab..cd@gmail.com</w:t>
      </w:r>
      <w:r>
        <w:rPr>
          <w:i/>
        </w:rPr>
        <w:t xml:space="preserve">.</w:t>
      </w:r>
    </w:p>
    <w:p>
      <w:r>
        <w:t xml:space="preserve">Navigation is allowed even though </w:t>
      </w:r>
      <w:r>
        <w:rPr>
          <w:b/>
        </w:rPr>
        <w:t xml:space="preserve">ab..cd@gmail.com</w:t>
      </w:r>
      <w:r>
        <w:t xml:space="preserve"> is an invalid email format in this scenario.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72000" cy="2320690"/>
            <wp:effectExtent l="0" t="0" r="0" b="0"/>
            <wp:docPr id="2" name="Screensh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3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Figure 3: Validation message displayed on the Sign Up page after navigation.</w:t>
      </w:r>
    </w:p>
    <w:p>
      <w:r>
        <w:t xml:space="preserve">The message </w:t>
      </w:r>
      <w:r>
        <w:rPr>
          <w:b/>
        </w:rPr>
        <w:t xml:space="preserve">"email must be an email"</w:t>
      </w:r>
      <w:r>
        <w:t xml:space="preserve"> appears only after navigation, showing validation runs too late.</w:t>
      </w:r>
    </w:p>
    <w:p>
      <w:r>
        <w:t xml:space="preserve">Other invalid formats tested:</w:t>
      </w:r>
    </w:p>
    <w:p>
      <w:pPr>
        <w:numPr>
          <w:ilvl w:val="0"/>
          <w:numId w:val="1"/>
        </w:numPr>
      </w:pPr>
      <w:r>
        <w:t xml:space="preserve">abcgmail.com</w:t>
      </w:r>
    </w:p>
    <w:p>
      <w:pPr>
        <w:numPr>
          <w:ilvl w:val="0"/>
          <w:numId w:val="1"/>
        </w:numPr>
      </w:pPr>
      <w:r>
        <w:t xml:space="preserve">abc@</w:t>
      </w:r>
    </w:p>
    <w:p>
      <w:pPr>
        <w:numPr>
          <w:ilvl w:val="0"/>
          <w:numId w:val="1"/>
        </w:numPr>
      </w:pPr>
      <w:r>
        <w:t xml:space="preserve">@gmail.com</w:t>
      </w:r>
    </w:p>
    <w:p>
      <w:r>
        <w:t xml:space="preserve">These were rejected on the initial screen, but </w:t>
      </w:r>
      <w:r>
        <w:rPr>
          <w:b/>
        </w:rPr>
        <w:t xml:space="preserve">ab..cd@gmail.com</w:t>
      </w:r>
      <w:r>
        <w:t xml:space="preserve"> was not — this inconsistency is the reported defect.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