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02DA0" w14:textId="28422E49" w:rsidR="00AD5C09" w:rsidRDefault="00AD5C09" w:rsidP="00AD5C09">
      <w:pPr>
        <w:spacing w:before="800" w:after="80"/>
        <w:jc w:val="center"/>
      </w:pPr>
      <w:r>
        <w:rPr>
          <w:b/>
          <w:bCs/>
          <w:color w:val="1B4F72"/>
          <w:sz w:val="56"/>
          <w:szCs w:val="56"/>
        </w:rPr>
        <w:t>CUSTOMER CHURN</w:t>
      </w:r>
      <w:r>
        <w:t xml:space="preserve">   </w:t>
      </w:r>
      <w:r>
        <w:rPr>
          <w:b/>
          <w:bCs/>
          <w:color w:val="1B4F72"/>
          <w:sz w:val="56"/>
          <w:szCs w:val="56"/>
        </w:rPr>
        <w:t>ANALYSIS &amp; PREDICTION</w:t>
      </w:r>
    </w:p>
    <w:p w14:paraId="2743021B" w14:textId="77777777" w:rsidR="00AD5C09" w:rsidRDefault="00AD5C09" w:rsidP="00AD5C09">
      <w:pPr>
        <w:spacing w:after="40"/>
        <w:jc w:val="center"/>
        <w:rPr>
          <w:i/>
          <w:iCs/>
          <w:color w:val="555555"/>
        </w:rPr>
      </w:pPr>
      <w:r>
        <w:rPr>
          <w:i/>
          <w:iCs/>
          <w:color w:val="555555"/>
        </w:rPr>
        <w:t>Telecom Industry  |  Machine Learning  |  Python</w:t>
      </w:r>
    </w:p>
    <w:p w14:paraId="501F1FA5" w14:textId="77777777" w:rsidR="00AD5C09" w:rsidRDefault="00AD5C09" w:rsidP="00AD5C09">
      <w:pPr>
        <w:spacing w:before="280" w:after="80"/>
      </w:pPr>
      <w:r>
        <w:rPr>
          <w:b/>
          <w:bCs/>
          <w:color w:val="1B4F72"/>
          <w:sz w:val="28"/>
          <w:szCs w:val="28"/>
        </w:rPr>
        <w:t>1.  Executive Summary</w:t>
      </w:r>
    </w:p>
    <w:p w14:paraId="129BBE4D" w14:textId="51F7B873" w:rsidR="00AD5C09" w:rsidRDefault="00AD5C09" w:rsidP="00AD5C09">
      <w:pPr>
        <w:spacing w:after="100"/>
        <w:jc w:val="both"/>
      </w:pPr>
      <w:r>
        <w:t xml:space="preserve"> </w:t>
      </w:r>
      <w:r>
        <w:t>This report presents the findings of a comprehensive customer churn analysis conducted on a real-world telecom dataset containing 7,043 customer records. The central goal was to identify the key drivers behind customer cancellations and to build machine learning models capable of predicting churn before it occurs — giving businesses the opportunity to intervene early and retain customers.</w:t>
      </w:r>
    </w:p>
    <w:p w14:paraId="7BE0465E" w14:textId="77777777" w:rsidR="00AD5C09" w:rsidRDefault="00AD5C09" w:rsidP="00AD5C09">
      <w:pPr>
        <w:spacing w:after="100"/>
        <w:jc w:val="both"/>
      </w:pPr>
      <w:r>
        <w:t>The analysis revealed an overall churn rate of 26.6%, meaning more than one in four customers left the service within the observation period. Customers on month-to-month contracts, those without technical support, and those paying higher monthly bills were found to be at significantly elevated risk. Logistic Regression achieved an AUC of 0.84 and Random Forest achieved 0.81 — both well above random chance.</w:t>
      </w:r>
    </w:p>
    <w:p w14:paraId="65F87F67" w14:textId="77777777" w:rsidR="00AD5C09" w:rsidRDefault="00AD5C09" w:rsidP="00AD5C09">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D5C09" w14:paraId="14C956D8" w14:textId="77777777" w:rsidTr="00D73CB0">
        <w:tblPrEx>
          <w:tblCellMar>
            <w:top w:w="0" w:type="dxa"/>
            <w:bottom w:w="0" w:type="dxa"/>
          </w:tblCellMar>
        </w:tblPrEx>
        <w:tc>
          <w:tcPr>
            <w:tcW w:w="2340" w:type="dxa"/>
            <w:tcBorders>
              <w:top w:val="nil"/>
              <w:left w:val="nil"/>
              <w:bottom w:val="nil"/>
              <w:right w:val="nil"/>
            </w:tcBorders>
            <w:shd w:val="clear" w:color="auto" w:fill="1B4F72"/>
            <w:tcMar>
              <w:top w:w="120" w:type="dxa"/>
              <w:left w:w="120" w:type="dxa"/>
              <w:bottom w:w="120" w:type="dxa"/>
              <w:right w:w="120" w:type="dxa"/>
            </w:tcMar>
            <w:vAlign w:val="center"/>
          </w:tcPr>
          <w:p w14:paraId="093C8AFB" w14:textId="77777777" w:rsidR="00AD5C09" w:rsidRDefault="00AD5C09" w:rsidP="00D73CB0">
            <w:pPr>
              <w:jc w:val="center"/>
            </w:pPr>
            <w:r>
              <w:rPr>
                <w:b/>
                <w:bCs/>
                <w:color w:val="FFFFFF"/>
                <w:sz w:val="56"/>
                <w:szCs w:val="56"/>
              </w:rPr>
              <w:t>7,043</w:t>
            </w:r>
          </w:p>
          <w:p w14:paraId="72AC7C9F" w14:textId="77777777" w:rsidR="00AD5C09" w:rsidRDefault="00AD5C09" w:rsidP="00D73CB0">
            <w:pPr>
              <w:jc w:val="center"/>
            </w:pPr>
            <w:r>
              <w:rPr>
                <w:color w:val="D6EAF8"/>
                <w:sz w:val="20"/>
                <w:szCs w:val="20"/>
              </w:rPr>
              <w:t>Customers Analysed</w:t>
            </w:r>
          </w:p>
        </w:tc>
        <w:tc>
          <w:tcPr>
            <w:tcW w:w="2340" w:type="dxa"/>
            <w:tcBorders>
              <w:top w:val="nil"/>
              <w:left w:val="nil"/>
              <w:bottom w:val="nil"/>
              <w:right w:val="nil"/>
            </w:tcBorders>
            <w:shd w:val="clear" w:color="auto" w:fill="1B4F72"/>
            <w:tcMar>
              <w:top w:w="120" w:type="dxa"/>
              <w:left w:w="120" w:type="dxa"/>
              <w:bottom w:w="120" w:type="dxa"/>
              <w:right w:w="120" w:type="dxa"/>
            </w:tcMar>
            <w:vAlign w:val="center"/>
          </w:tcPr>
          <w:p w14:paraId="5E35DDDD" w14:textId="77777777" w:rsidR="00AD5C09" w:rsidRDefault="00AD5C09" w:rsidP="00D73CB0">
            <w:pPr>
              <w:jc w:val="center"/>
            </w:pPr>
            <w:r>
              <w:rPr>
                <w:b/>
                <w:bCs/>
                <w:color w:val="FFFFFF"/>
                <w:sz w:val="56"/>
                <w:szCs w:val="56"/>
              </w:rPr>
              <w:t>26.6%</w:t>
            </w:r>
          </w:p>
          <w:p w14:paraId="538D5C19" w14:textId="77777777" w:rsidR="00AD5C09" w:rsidRDefault="00AD5C09" w:rsidP="00D73CB0">
            <w:pPr>
              <w:jc w:val="center"/>
            </w:pPr>
            <w:r>
              <w:rPr>
                <w:color w:val="D6EAF8"/>
                <w:sz w:val="20"/>
                <w:szCs w:val="20"/>
              </w:rPr>
              <w:t>Overall Churn Rate</w:t>
            </w:r>
          </w:p>
        </w:tc>
        <w:tc>
          <w:tcPr>
            <w:tcW w:w="2340" w:type="dxa"/>
            <w:tcBorders>
              <w:top w:val="nil"/>
              <w:left w:val="nil"/>
              <w:bottom w:val="nil"/>
              <w:right w:val="nil"/>
            </w:tcBorders>
            <w:shd w:val="clear" w:color="auto" w:fill="1B4F72"/>
            <w:tcMar>
              <w:top w:w="120" w:type="dxa"/>
              <w:left w:w="120" w:type="dxa"/>
              <w:bottom w:w="120" w:type="dxa"/>
              <w:right w:w="120" w:type="dxa"/>
            </w:tcMar>
            <w:vAlign w:val="center"/>
          </w:tcPr>
          <w:p w14:paraId="71130BBD" w14:textId="77777777" w:rsidR="00AD5C09" w:rsidRDefault="00AD5C09" w:rsidP="00D73CB0">
            <w:pPr>
              <w:jc w:val="center"/>
            </w:pPr>
            <w:r>
              <w:rPr>
                <w:b/>
                <w:bCs/>
                <w:color w:val="FFFFFF"/>
                <w:sz w:val="56"/>
                <w:szCs w:val="56"/>
              </w:rPr>
              <w:t>0.84</w:t>
            </w:r>
          </w:p>
          <w:p w14:paraId="02B637A4" w14:textId="77777777" w:rsidR="00AD5C09" w:rsidRDefault="00AD5C09" w:rsidP="00D73CB0">
            <w:pPr>
              <w:jc w:val="center"/>
            </w:pPr>
            <w:r>
              <w:rPr>
                <w:color w:val="D6EAF8"/>
                <w:sz w:val="20"/>
                <w:szCs w:val="20"/>
              </w:rPr>
              <w:t>Best AUC Score</w:t>
            </w:r>
          </w:p>
        </w:tc>
        <w:tc>
          <w:tcPr>
            <w:tcW w:w="2340" w:type="dxa"/>
            <w:tcBorders>
              <w:top w:val="nil"/>
              <w:left w:val="nil"/>
              <w:bottom w:val="nil"/>
              <w:right w:val="nil"/>
            </w:tcBorders>
            <w:shd w:val="clear" w:color="auto" w:fill="1B4F72"/>
            <w:tcMar>
              <w:top w:w="120" w:type="dxa"/>
              <w:left w:w="120" w:type="dxa"/>
              <w:bottom w:w="120" w:type="dxa"/>
              <w:right w:w="120" w:type="dxa"/>
            </w:tcMar>
            <w:vAlign w:val="center"/>
          </w:tcPr>
          <w:p w14:paraId="23814A4C" w14:textId="77777777" w:rsidR="00AD5C09" w:rsidRDefault="00AD5C09" w:rsidP="00D73CB0">
            <w:pPr>
              <w:jc w:val="center"/>
            </w:pPr>
            <w:r>
              <w:rPr>
                <w:b/>
                <w:bCs/>
                <w:color w:val="FFFFFF"/>
                <w:sz w:val="56"/>
                <w:szCs w:val="56"/>
              </w:rPr>
              <w:t>~80%</w:t>
            </w:r>
          </w:p>
          <w:p w14:paraId="320C1689" w14:textId="77777777" w:rsidR="00AD5C09" w:rsidRDefault="00AD5C09" w:rsidP="00D73CB0">
            <w:pPr>
              <w:jc w:val="center"/>
            </w:pPr>
            <w:r>
              <w:rPr>
                <w:color w:val="D6EAF8"/>
                <w:sz w:val="20"/>
                <w:szCs w:val="20"/>
              </w:rPr>
              <w:t>Model Accuracy</w:t>
            </w:r>
          </w:p>
        </w:tc>
      </w:tr>
    </w:tbl>
    <w:p w14:paraId="2C8151ED" w14:textId="77777777" w:rsidR="00AD5C09" w:rsidRDefault="00AD5C09" w:rsidP="00AD5C09">
      <w:pPr>
        <w:spacing w:before="280" w:after="80"/>
      </w:pPr>
      <w:r>
        <w:rPr>
          <w:b/>
          <w:bCs/>
          <w:color w:val="1B4F72"/>
          <w:sz w:val="28"/>
          <w:szCs w:val="28"/>
        </w:rPr>
        <w:t>2.  Project Overview</w:t>
      </w:r>
    </w:p>
    <w:p w14:paraId="7F4B745F" w14:textId="77777777" w:rsidR="00AD5C09" w:rsidRDefault="00AD5C09" w:rsidP="00AD5C09">
      <w:pPr>
        <w:spacing w:before="200" w:after="80"/>
      </w:pPr>
      <w:r>
        <w:rPr>
          <w:b/>
          <w:bCs/>
          <w:color w:val="154360"/>
        </w:rPr>
        <w:t>2.1  Objectives</w:t>
      </w:r>
    </w:p>
    <w:p w14:paraId="0CBC4C7D" w14:textId="77777777" w:rsidR="00AD5C09" w:rsidRDefault="00AD5C09" w:rsidP="00AD5C09">
      <w:pPr>
        <w:spacing w:after="100"/>
        <w:jc w:val="both"/>
      </w:pPr>
      <w:r>
        <w:t>This project simulates a real-world business analytics engagement — moving through the full data science workflow from cleaning and exploration through to modelling and actionable recommendations.</w:t>
      </w:r>
    </w:p>
    <w:p w14:paraId="2ECF0126" w14:textId="77777777" w:rsidR="00AD5C09" w:rsidRDefault="00AD5C09" w:rsidP="00AD5C09">
      <w:pPr>
        <w:pStyle w:val="ListParagraph"/>
        <w:numPr>
          <w:ilvl w:val="0"/>
          <w:numId w:val="1"/>
        </w:numPr>
        <w:spacing w:after="60"/>
        <w:contextualSpacing w:val="0"/>
      </w:pPr>
      <w:r>
        <w:t>Analyse a real-world telecom dataset to uncover patterns in customer churn behaviour</w:t>
      </w:r>
    </w:p>
    <w:p w14:paraId="566BC8F3" w14:textId="77777777" w:rsidR="00AD5C09" w:rsidRDefault="00AD5C09" w:rsidP="00AD5C09">
      <w:pPr>
        <w:pStyle w:val="ListParagraph"/>
        <w:numPr>
          <w:ilvl w:val="0"/>
          <w:numId w:val="1"/>
        </w:numPr>
        <w:spacing w:after="60"/>
        <w:contextualSpacing w:val="0"/>
      </w:pPr>
      <w:r>
        <w:t>Identify the features most strongly associated with customer cancellation</w:t>
      </w:r>
    </w:p>
    <w:p w14:paraId="0008EA53" w14:textId="77777777" w:rsidR="00AD5C09" w:rsidRDefault="00AD5C09" w:rsidP="00AD5C09">
      <w:pPr>
        <w:pStyle w:val="ListParagraph"/>
        <w:numPr>
          <w:ilvl w:val="0"/>
          <w:numId w:val="1"/>
        </w:numPr>
        <w:spacing w:after="60"/>
        <w:contextualSpacing w:val="0"/>
      </w:pPr>
      <w:r>
        <w:t>Build, compare, and evaluate Logistic Regression and Random Forest classifiers</w:t>
      </w:r>
    </w:p>
    <w:p w14:paraId="71120FAC" w14:textId="77777777" w:rsidR="00AD5C09" w:rsidRDefault="00AD5C09" w:rsidP="00AD5C09">
      <w:pPr>
        <w:pStyle w:val="ListParagraph"/>
        <w:numPr>
          <w:ilvl w:val="0"/>
          <w:numId w:val="1"/>
        </w:numPr>
        <w:spacing w:after="60"/>
        <w:contextualSpacing w:val="0"/>
      </w:pPr>
      <w:r>
        <w:t>Translate data findings into four concrete business recommendations</w:t>
      </w:r>
    </w:p>
    <w:p w14:paraId="5CF0290D" w14:textId="77777777" w:rsidR="00AD5C09" w:rsidRDefault="00AD5C09" w:rsidP="00AD5C09">
      <w:pPr>
        <w:spacing w:before="200" w:after="80"/>
      </w:pPr>
      <w:r>
        <w:rPr>
          <w:b/>
          <w:bCs/>
          <w:color w:val="154360"/>
        </w:rPr>
        <w:t>2.2  Tools &amp; Technologies</w:t>
      </w:r>
    </w:p>
    <w:p w14:paraId="0463D109" w14:textId="77777777" w:rsidR="00AD5C09" w:rsidRDefault="00AD5C09" w:rsidP="00AD5C09">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5C09" w14:paraId="51BBC893"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456FCAC" w14:textId="77777777" w:rsidR="00AD5C09" w:rsidRDefault="00AD5C09" w:rsidP="00D73CB0">
            <w:r>
              <w:rPr>
                <w:b/>
                <w:bCs/>
                <w:color w:val="FFFFFF"/>
                <w:sz w:val="20"/>
                <w:szCs w:val="20"/>
              </w:rPr>
              <w:t>Tool / Library</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8280105" w14:textId="77777777" w:rsidR="00AD5C09" w:rsidRDefault="00AD5C09" w:rsidP="00D73CB0">
            <w:r>
              <w:rPr>
                <w:b/>
                <w:bCs/>
                <w:color w:val="FFFFFF"/>
                <w:sz w:val="20"/>
                <w:szCs w:val="20"/>
              </w:rPr>
              <w:t>Purpose</w:t>
            </w:r>
          </w:p>
        </w:tc>
      </w:tr>
      <w:tr w:rsidR="00AD5C09" w14:paraId="07AFA02F"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A8C3D" w14:textId="77777777" w:rsidR="00AD5C09" w:rsidRDefault="00AD5C09" w:rsidP="00D73CB0">
            <w:r>
              <w:rPr>
                <w:b/>
                <w:bCs/>
                <w:sz w:val="20"/>
                <w:szCs w:val="20"/>
              </w:rPr>
              <w:t>Python 3.x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2DC06" w14:textId="77777777" w:rsidR="00AD5C09" w:rsidRDefault="00AD5C09" w:rsidP="00D73CB0">
            <w:r>
              <w:rPr>
                <w:sz w:val="20"/>
                <w:szCs w:val="20"/>
              </w:rPr>
              <w:t>Core programming language for all analysis</w:t>
            </w:r>
          </w:p>
        </w:tc>
      </w:tr>
      <w:tr w:rsidR="00AD5C09" w14:paraId="3604FFBD"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A0E1EB" w14:textId="77777777" w:rsidR="00AD5C09" w:rsidRDefault="00AD5C09" w:rsidP="00D73CB0">
            <w:r>
              <w:rPr>
                <w:b/>
                <w:bCs/>
                <w:sz w:val="20"/>
                <w:szCs w:val="20"/>
              </w:rPr>
              <w:lastRenderedPageBreak/>
              <w:t>Pandas &amp; NumPy</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07F312" w14:textId="77777777" w:rsidR="00AD5C09" w:rsidRDefault="00AD5C09" w:rsidP="00D73CB0">
            <w:r>
              <w:rPr>
                <w:sz w:val="20"/>
                <w:szCs w:val="20"/>
              </w:rPr>
              <w:t>Data cleaning, transformation, and aggregation</w:t>
            </w:r>
          </w:p>
        </w:tc>
      </w:tr>
      <w:tr w:rsidR="00AD5C09" w14:paraId="7D1C066B"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3B56C" w14:textId="77777777" w:rsidR="00AD5C09" w:rsidRDefault="00AD5C09" w:rsidP="00D73CB0">
            <w:r>
              <w:rPr>
                <w:b/>
                <w:bCs/>
                <w:sz w:val="20"/>
                <w:szCs w:val="20"/>
              </w:rPr>
              <w:t>Matplotlib &amp; Seaborn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E02D" w14:textId="77777777" w:rsidR="00AD5C09" w:rsidRDefault="00AD5C09" w:rsidP="00D73CB0">
            <w:r>
              <w:rPr>
                <w:sz w:val="20"/>
                <w:szCs w:val="20"/>
              </w:rPr>
              <w:t>Visualisation — EDA charts and model outputs</w:t>
            </w:r>
          </w:p>
        </w:tc>
      </w:tr>
      <w:tr w:rsidR="00AD5C09" w14:paraId="521B64D3"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2F429D" w14:textId="77777777" w:rsidR="00AD5C09" w:rsidRDefault="00AD5C09" w:rsidP="00D73CB0">
            <w:r>
              <w:rPr>
                <w:b/>
                <w:bCs/>
                <w:sz w:val="20"/>
                <w:szCs w:val="20"/>
              </w:rPr>
              <w:t>Scikit-learn</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1B51BC" w14:textId="77777777" w:rsidR="00AD5C09" w:rsidRDefault="00AD5C09" w:rsidP="00D73CB0">
            <w:r>
              <w:rPr>
                <w:sz w:val="20"/>
                <w:szCs w:val="20"/>
              </w:rPr>
              <w:t>Machine learning models, evaluation, and preprocessing</w:t>
            </w:r>
          </w:p>
        </w:tc>
      </w:tr>
      <w:tr w:rsidR="00AD5C09" w14:paraId="7692FC8D"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7D016" w14:textId="77777777" w:rsidR="00AD5C09" w:rsidRDefault="00AD5C09" w:rsidP="00D73CB0">
            <w:r>
              <w:rPr>
                <w:b/>
                <w:bCs/>
                <w:sz w:val="20"/>
                <w:szCs w:val="20"/>
              </w:rPr>
              <w:t>Google Colab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6C93C" w14:textId="77777777" w:rsidR="00AD5C09" w:rsidRDefault="00AD5C09" w:rsidP="00D73CB0">
            <w:r>
              <w:rPr>
                <w:sz w:val="20"/>
                <w:szCs w:val="20"/>
              </w:rPr>
              <w:t>Cloud notebook environment — fully reproducible</w:t>
            </w:r>
          </w:p>
        </w:tc>
      </w:tr>
      <w:tr w:rsidR="00AD5C09" w14:paraId="5EC1593C"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EFB3CA" w14:textId="77777777" w:rsidR="00AD5C09" w:rsidRDefault="00AD5C09" w:rsidP="00D73CB0">
            <w:r>
              <w:rPr>
                <w:b/>
                <w:bCs/>
                <w:sz w:val="20"/>
                <w:szCs w:val="20"/>
              </w:rPr>
              <w:t>GitHub</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D15547" w14:textId="77777777" w:rsidR="00AD5C09" w:rsidRDefault="00AD5C09" w:rsidP="00D73CB0">
            <w:r>
              <w:rPr>
                <w:sz w:val="20"/>
                <w:szCs w:val="20"/>
              </w:rPr>
              <w:t>Version control and public portfolio presentation</w:t>
            </w:r>
          </w:p>
        </w:tc>
      </w:tr>
    </w:tbl>
    <w:p w14:paraId="3A8947D6" w14:textId="77777777" w:rsidR="00AD5C09" w:rsidRDefault="00AD5C09" w:rsidP="00AD5C09">
      <w:pPr>
        <w:spacing w:before="200" w:after="80"/>
      </w:pPr>
      <w:r>
        <w:rPr>
          <w:b/>
          <w:bCs/>
          <w:color w:val="154360"/>
        </w:rPr>
        <w:t>2.3  Dataset Overview</w:t>
      </w:r>
    </w:p>
    <w:p w14:paraId="3F95ABF1" w14:textId="77777777" w:rsidR="00AD5C09" w:rsidRDefault="00AD5C09" w:rsidP="00AD5C09">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5C09" w14:paraId="2F38B7CB"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BF2162A" w14:textId="77777777" w:rsidR="00AD5C09" w:rsidRDefault="00AD5C09" w:rsidP="00D73CB0">
            <w:r>
              <w:rPr>
                <w:b/>
                <w:bCs/>
                <w:color w:val="FFFFFF"/>
                <w:sz w:val="20"/>
                <w:szCs w:val="20"/>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1492C63" w14:textId="77777777" w:rsidR="00AD5C09" w:rsidRDefault="00AD5C09" w:rsidP="00D73CB0">
            <w:r>
              <w:rPr>
                <w:b/>
                <w:bCs/>
                <w:color w:val="FFFFFF"/>
                <w:sz w:val="20"/>
                <w:szCs w:val="20"/>
              </w:rPr>
              <w:t>Detail</w:t>
            </w:r>
          </w:p>
        </w:tc>
      </w:tr>
      <w:tr w:rsidR="00AD5C09" w14:paraId="5AFDA711"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FBAD1" w14:textId="77777777" w:rsidR="00AD5C09" w:rsidRDefault="00AD5C09" w:rsidP="00D73CB0">
            <w:r>
              <w:rPr>
                <w:b/>
                <w:bCs/>
                <w:sz w:val="20"/>
                <w:szCs w:val="20"/>
              </w:rPr>
              <w:t>Source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B61F" w14:textId="77777777" w:rsidR="00AD5C09" w:rsidRDefault="00AD5C09" w:rsidP="00D73CB0">
            <w:r>
              <w:rPr>
                <w:sz w:val="20"/>
                <w:szCs w:val="20"/>
              </w:rPr>
              <w:t>Kaggle — IBM Telco Customer Churn</w:t>
            </w:r>
          </w:p>
        </w:tc>
      </w:tr>
      <w:tr w:rsidR="00AD5C09" w14:paraId="2AF14814"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FF0EEB" w14:textId="77777777" w:rsidR="00AD5C09" w:rsidRDefault="00AD5C09" w:rsidP="00D73CB0">
            <w:r>
              <w:rPr>
                <w:b/>
                <w:bCs/>
                <w:sz w:val="20"/>
                <w:szCs w:val="20"/>
              </w:rPr>
              <w:t>Total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EC1BC0" w14:textId="77777777" w:rsidR="00AD5C09" w:rsidRDefault="00AD5C09" w:rsidP="00D73CB0">
            <w:r>
              <w:rPr>
                <w:sz w:val="20"/>
                <w:szCs w:val="20"/>
              </w:rPr>
              <w:t>7,043 customers</w:t>
            </w:r>
          </w:p>
        </w:tc>
      </w:tr>
      <w:tr w:rsidR="00AD5C09" w14:paraId="66865453"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6EB01" w14:textId="77777777" w:rsidR="00AD5C09" w:rsidRDefault="00AD5C09" w:rsidP="00D73CB0">
            <w:r>
              <w:rPr>
                <w:b/>
                <w:bCs/>
                <w:sz w:val="20"/>
                <w:szCs w:val="20"/>
              </w:rPr>
              <w:t>Features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240A1" w14:textId="77777777" w:rsidR="00AD5C09" w:rsidRDefault="00AD5C09" w:rsidP="00D73CB0">
            <w:r>
              <w:rPr>
                <w:sz w:val="20"/>
                <w:szCs w:val="20"/>
              </w:rPr>
              <w:t>21 columns — demographics, services, billing</w:t>
            </w:r>
          </w:p>
        </w:tc>
      </w:tr>
      <w:tr w:rsidR="00AD5C09" w14:paraId="300AB59A"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5DED50" w14:textId="77777777" w:rsidR="00AD5C09" w:rsidRDefault="00AD5C09" w:rsidP="00D73CB0">
            <w:r>
              <w:rPr>
                <w:b/>
                <w:bCs/>
                <w:sz w:val="20"/>
                <w:szCs w:val="20"/>
              </w:rPr>
              <w:t>Target Variable</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65E4E4" w14:textId="77777777" w:rsidR="00AD5C09" w:rsidRDefault="00AD5C09" w:rsidP="00D73CB0">
            <w:r>
              <w:rPr>
                <w:sz w:val="20"/>
                <w:szCs w:val="20"/>
              </w:rPr>
              <w:t>Churn (Yes / No)</w:t>
            </w:r>
          </w:p>
        </w:tc>
      </w:tr>
      <w:tr w:rsidR="00AD5C09" w14:paraId="5117700B"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5A652" w14:textId="77777777" w:rsidR="00AD5C09" w:rsidRDefault="00AD5C09" w:rsidP="00D73CB0">
            <w:r>
              <w:rPr>
                <w:b/>
                <w:bCs/>
                <w:sz w:val="20"/>
                <w:szCs w:val="20"/>
              </w:rPr>
              <w:t>Churn Rate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A554D" w14:textId="77777777" w:rsidR="00AD5C09" w:rsidRDefault="00AD5C09" w:rsidP="00D73CB0">
            <w:r>
              <w:rPr>
                <w:sz w:val="20"/>
                <w:szCs w:val="20"/>
              </w:rPr>
              <w:t>26.6% — 1,869 churned customers</w:t>
            </w:r>
          </w:p>
        </w:tc>
      </w:tr>
      <w:tr w:rsidR="00AD5C09" w14:paraId="7FD4D8A8"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32469E" w14:textId="77777777" w:rsidR="00AD5C09" w:rsidRDefault="00AD5C09" w:rsidP="00D73CB0">
            <w:r>
              <w:rPr>
                <w:b/>
                <w:bCs/>
                <w:sz w:val="20"/>
                <w:szCs w:val="20"/>
              </w:rPr>
              <w:t>Missing Values</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CBCF1A" w14:textId="77777777" w:rsidR="00AD5C09" w:rsidRDefault="00AD5C09" w:rsidP="00D73CB0">
            <w:r>
              <w:rPr>
                <w:sz w:val="20"/>
                <w:szCs w:val="20"/>
              </w:rPr>
              <w:t>11 rows removed (</w:t>
            </w:r>
            <w:proofErr w:type="spellStart"/>
            <w:r>
              <w:rPr>
                <w:sz w:val="20"/>
                <w:szCs w:val="20"/>
              </w:rPr>
              <w:t>TotalCharges</w:t>
            </w:r>
            <w:proofErr w:type="spellEnd"/>
            <w:r>
              <w:rPr>
                <w:sz w:val="20"/>
                <w:szCs w:val="20"/>
              </w:rPr>
              <w:t xml:space="preserve"> blank)</w:t>
            </w:r>
          </w:p>
        </w:tc>
      </w:tr>
    </w:tbl>
    <w:p w14:paraId="2388986C" w14:textId="77777777" w:rsidR="00AD5C09" w:rsidRDefault="00AD5C09" w:rsidP="00AD5C09">
      <w:pPr>
        <w:spacing w:before="280" w:after="80"/>
      </w:pPr>
      <w:r>
        <w:rPr>
          <w:b/>
          <w:bCs/>
          <w:color w:val="1B4F72"/>
          <w:sz w:val="28"/>
          <w:szCs w:val="28"/>
        </w:rPr>
        <w:t>3.  Data Cleaning &amp; Preparation</w:t>
      </w:r>
    </w:p>
    <w:p w14:paraId="4A4C3695" w14:textId="77777777" w:rsidR="00AD5C09" w:rsidRDefault="00AD5C09" w:rsidP="00AD5C09">
      <w:pPr>
        <w:pBdr>
          <w:bottom w:val="single" w:sz="6" w:space="2" w:color="1B4F72"/>
        </w:pBdr>
        <w:spacing w:after="120"/>
      </w:pPr>
    </w:p>
    <w:p w14:paraId="68D6D9AD" w14:textId="77777777" w:rsidR="00AD5C09" w:rsidRDefault="00AD5C09" w:rsidP="00AD5C09">
      <w:pPr>
        <w:spacing w:after="100"/>
        <w:jc w:val="both"/>
      </w:pPr>
      <w:r>
        <w:t>Raw data is rarely analysis-ready. Before any exploration or modelling could begin, the dataset required careful inspection and targeted cleaning to ensure accuracy, consistency, and compatibility with machine learning algorithms.</w:t>
      </w:r>
    </w:p>
    <w:p w14:paraId="1569C31A" w14:textId="77777777" w:rsidR="00AD5C09" w:rsidRDefault="00AD5C09" w:rsidP="00AD5C09">
      <w:pPr>
        <w:spacing w:before="200" w:after="80"/>
      </w:pPr>
      <w:r>
        <w:rPr>
          <w:b/>
          <w:bCs/>
          <w:color w:val="154360"/>
        </w:rPr>
        <w:t>3.1  Issues Identified &amp; Resolved</w:t>
      </w:r>
    </w:p>
    <w:p w14:paraId="156E7C96" w14:textId="77777777" w:rsidR="00AD5C09" w:rsidRDefault="00AD5C09" w:rsidP="00AD5C09">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D5C09" w14:paraId="05AABD7B" w14:textId="77777777" w:rsidTr="00D73CB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AAE4C8D" w14:textId="77777777" w:rsidR="00AD5C09" w:rsidRDefault="00AD5C09" w:rsidP="00D73CB0">
            <w:r>
              <w:rPr>
                <w:b/>
                <w:bCs/>
                <w:color w:val="FFFFFF"/>
                <w:sz w:val="20"/>
                <w:szCs w:val="20"/>
              </w:rPr>
              <w:t>Issue Found</w:t>
            </w:r>
          </w:p>
        </w:tc>
        <w:tc>
          <w:tcPr>
            <w:tcW w:w="5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BBB90B2" w14:textId="77777777" w:rsidR="00AD5C09" w:rsidRDefault="00AD5C09" w:rsidP="00D73CB0">
            <w:r>
              <w:rPr>
                <w:b/>
                <w:bCs/>
                <w:color w:val="FFFFFF"/>
                <w:sz w:val="20"/>
                <w:szCs w:val="20"/>
              </w:rPr>
              <w:t>Action Taken</w:t>
            </w:r>
          </w:p>
        </w:tc>
      </w:tr>
      <w:tr w:rsidR="00AD5C09" w14:paraId="74DA9065" w14:textId="77777777" w:rsidTr="00D73CB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3CFBC" w14:textId="1DD9899B" w:rsidR="00AD5C09" w:rsidRDefault="00475120" w:rsidP="00D73CB0">
            <w:r>
              <w:rPr>
                <w:b/>
                <w:bCs/>
                <w:sz w:val="20"/>
                <w:szCs w:val="20"/>
              </w:rPr>
              <w:t>Total Charges</w:t>
            </w:r>
            <w:r w:rsidR="00AD5C09">
              <w:rPr>
                <w:b/>
                <w:bCs/>
                <w:sz w:val="20"/>
                <w:szCs w:val="20"/>
              </w:rPr>
              <w:t xml:space="preserve"> stored as 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50DAE" w14:textId="77777777" w:rsidR="00AD5C09" w:rsidRDefault="00AD5C09" w:rsidP="00D73CB0">
            <w:r>
              <w:rPr>
                <w:sz w:val="20"/>
                <w:szCs w:val="20"/>
              </w:rPr>
              <w:t>Converted to numeric; 11 blank rows removed</w:t>
            </w:r>
          </w:p>
        </w:tc>
      </w:tr>
      <w:tr w:rsidR="00AD5C09" w14:paraId="6E2E13C3" w14:textId="77777777" w:rsidTr="00D73CB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E26EC5" w14:textId="77777777" w:rsidR="00AD5C09" w:rsidRDefault="00AD5C09" w:rsidP="00D73CB0">
            <w:r>
              <w:rPr>
                <w:b/>
                <w:bCs/>
                <w:sz w:val="20"/>
                <w:szCs w:val="20"/>
              </w:rPr>
              <w:t>customerID column</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C073FA" w14:textId="77777777" w:rsidR="00AD5C09" w:rsidRDefault="00AD5C09" w:rsidP="00D73CB0">
            <w:r>
              <w:rPr>
                <w:sz w:val="20"/>
                <w:szCs w:val="20"/>
              </w:rPr>
              <w:t>Dropped — no predictive or analytical value</w:t>
            </w:r>
          </w:p>
        </w:tc>
      </w:tr>
      <w:tr w:rsidR="00AD5C09" w14:paraId="405A6F6F" w14:textId="77777777" w:rsidTr="00D73CB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906CA" w14:textId="77777777" w:rsidR="00AD5C09" w:rsidRDefault="00AD5C09" w:rsidP="00D73CB0">
            <w:r>
              <w:rPr>
                <w:b/>
                <w:bCs/>
                <w:sz w:val="20"/>
                <w:szCs w:val="20"/>
              </w:rPr>
              <w:t>Binary text columns (Yes/No)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66340" w14:textId="77777777" w:rsidR="00AD5C09" w:rsidRDefault="00AD5C09" w:rsidP="00D73CB0">
            <w:r>
              <w:rPr>
                <w:sz w:val="20"/>
                <w:szCs w:val="20"/>
              </w:rPr>
              <w:t>Label-encoded to 1/0 for model compatibility</w:t>
            </w:r>
          </w:p>
        </w:tc>
      </w:tr>
      <w:tr w:rsidR="00AD5C09" w14:paraId="49B559D0" w14:textId="77777777" w:rsidTr="00D73CB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71BF6D" w14:textId="77777777" w:rsidR="00AD5C09" w:rsidRDefault="00AD5C09" w:rsidP="00D73CB0">
            <w:r>
              <w:rPr>
                <w:b/>
                <w:bCs/>
                <w:sz w:val="20"/>
                <w:szCs w:val="20"/>
              </w:rPr>
              <w:t>Multi-category columns</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C9AB16" w14:textId="77777777" w:rsidR="00AD5C09" w:rsidRDefault="00AD5C09" w:rsidP="00D73CB0">
            <w:r>
              <w:rPr>
                <w:sz w:val="20"/>
                <w:szCs w:val="20"/>
              </w:rPr>
              <w:t xml:space="preserve">One-hot encoded using </w:t>
            </w:r>
            <w:proofErr w:type="spellStart"/>
            <w:r>
              <w:rPr>
                <w:sz w:val="20"/>
                <w:szCs w:val="20"/>
              </w:rPr>
              <w:t>pd.get_dummies</w:t>
            </w:r>
            <w:proofErr w:type="spellEnd"/>
            <w:r>
              <w:rPr>
                <w:sz w:val="20"/>
                <w:szCs w:val="20"/>
              </w:rPr>
              <w:t>()</w:t>
            </w:r>
          </w:p>
        </w:tc>
      </w:tr>
      <w:tr w:rsidR="00AD5C09" w14:paraId="25CB1E6D" w14:textId="77777777" w:rsidTr="00D73CB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34CEA" w14:textId="77777777" w:rsidR="00AD5C09" w:rsidRDefault="00AD5C09" w:rsidP="00D73CB0">
            <w:r>
              <w:rPr>
                <w:b/>
                <w:bCs/>
                <w:sz w:val="20"/>
                <w:szCs w:val="20"/>
              </w:rPr>
              <w:t>Class imbalance (74% / 26%)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A8A5F" w14:textId="77777777" w:rsidR="00AD5C09" w:rsidRDefault="00AD5C09" w:rsidP="00D73CB0">
            <w:r>
              <w:rPr>
                <w:sz w:val="20"/>
                <w:szCs w:val="20"/>
              </w:rPr>
              <w:t>Noted; stratified split applied in modelling</w:t>
            </w:r>
          </w:p>
        </w:tc>
      </w:tr>
    </w:tbl>
    <w:p w14:paraId="7C5B131C" w14:textId="77777777" w:rsidR="00AD5C09" w:rsidRDefault="00AD5C09" w:rsidP="00AD5C09">
      <w:pPr>
        <w:spacing w:before="200" w:after="80"/>
      </w:pPr>
      <w:r>
        <w:rPr>
          <w:b/>
          <w:bCs/>
          <w:color w:val="154360"/>
        </w:rPr>
        <w:t>3.2  Final Feature Matrix</w:t>
      </w:r>
    </w:p>
    <w:p w14:paraId="4CF91F5E" w14:textId="77777777" w:rsidR="00AD5C09" w:rsidRDefault="00AD5C09" w:rsidP="00AD5C09">
      <w:pPr>
        <w:spacing w:after="100"/>
        <w:jc w:val="both"/>
      </w:pPr>
      <w:r>
        <w:t>After encoding, the dataset expanded from 21 original columns to 30 binary and numeric features. No synthetic features were manually engineered — the encoding process itself surfaced nuanced information within categorical variables such as contract type, internet service, and payment method, all of which proved highly predictive.</w:t>
      </w:r>
    </w:p>
    <w:p w14:paraId="0C353F47" w14:textId="77777777" w:rsidR="00AD5C09" w:rsidRDefault="00AD5C09" w:rsidP="00AD5C09">
      <w:pPr>
        <w:spacing w:before="280" w:after="80"/>
      </w:pPr>
      <w:r>
        <w:rPr>
          <w:b/>
          <w:bCs/>
          <w:color w:val="1B4F72"/>
          <w:sz w:val="28"/>
          <w:szCs w:val="28"/>
        </w:rPr>
        <w:t>4.  Exploratory Data Analysis</w:t>
      </w:r>
    </w:p>
    <w:p w14:paraId="531D3496" w14:textId="77777777" w:rsidR="00AD5C09" w:rsidRDefault="00AD5C09" w:rsidP="00AD5C09">
      <w:pPr>
        <w:spacing w:after="100"/>
        <w:jc w:val="both"/>
      </w:pPr>
      <w:r>
        <w:lastRenderedPageBreak/>
        <w:t>Before building any model, it is essential to understand the data through visualisation and summary statistics. The exploratory analysis revealed four clear patterns that directly shaped both the modelling strategy and the final business recommendations.</w:t>
      </w:r>
    </w:p>
    <w:p w14:paraId="227743DF" w14:textId="77777777" w:rsidR="00AD5C09" w:rsidRDefault="00AD5C09" w:rsidP="00AD5C09">
      <w:pPr>
        <w:spacing w:before="200" w:after="80"/>
      </w:pPr>
      <w:r>
        <w:rPr>
          <w:b/>
          <w:bCs/>
          <w:color w:val="154360"/>
        </w:rPr>
        <w:t>4.1  Churn Rate, Tenure &amp; Monthly Charges</w:t>
      </w:r>
    </w:p>
    <w:p w14:paraId="547392A2" w14:textId="77777777" w:rsidR="00AD5C09" w:rsidRDefault="00AD5C09" w:rsidP="00AD5C09">
      <w:pPr>
        <w:spacing w:after="100"/>
        <w:jc w:val="both"/>
      </w:pPr>
      <w:r>
        <w:t>The chart below provides three simultaneous views of churn behaviour. The pie chart confirms the 26.6% base churn rate. The tenure boxplot reveals that churned customers leave early — their median tenure is around 10 months compared to roughly 38 months for retained customers. The monthly charges boxplot shows that churned customers consistently pay more.</w:t>
      </w:r>
    </w:p>
    <w:p w14:paraId="70CD3BC6" w14:textId="77777777" w:rsidR="00AD5C09" w:rsidRDefault="00AD5C09" w:rsidP="00AD5C09">
      <w:pPr>
        <w:spacing w:before="120" w:after="60"/>
        <w:jc w:val="center"/>
      </w:pPr>
      <w:r>
        <w:rPr>
          <w:noProof/>
        </w:rPr>
        <w:drawing>
          <wp:inline distT="0" distB="0" distL="0" distR="0" wp14:anchorId="25CE99D5" wp14:editId="01F03415">
            <wp:extent cx="5143500" cy="1647825"/>
            <wp:effectExtent l="0" t="0" r="0" b="0"/>
            <wp:docPr id="1" name="Picture 1" descr="A chart with a red and gree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rt with a red and green box&#10;&#10;Description automatically generated"/>
                    <pic:cNvPicPr>
                      <a:picLocks noChangeAspect="1" noChangeArrowheads="1"/>
                    </pic:cNvPicPr>
                  </pic:nvPicPr>
                  <pic:blipFill>
                    <a:blip r:embed="rId5"/>
                    <a:srcRect/>
                    <a:stretch>
                      <a:fillRect/>
                    </a:stretch>
                  </pic:blipFill>
                  <pic:spPr bwMode="auto">
                    <a:xfrm>
                      <a:off x="0" y="0"/>
                      <a:ext cx="5143500" cy="1647825"/>
                    </a:xfrm>
                    <a:prstGeom prst="rect">
                      <a:avLst/>
                    </a:prstGeom>
                  </pic:spPr>
                </pic:pic>
              </a:graphicData>
            </a:graphic>
          </wp:inline>
        </w:drawing>
      </w:r>
    </w:p>
    <w:p w14:paraId="0C7AFC7D" w14:textId="77777777" w:rsidR="00AD5C09" w:rsidRDefault="00AD5C09" w:rsidP="00AD5C09">
      <w:pPr>
        <w:spacing w:before="60" w:after="160"/>
        <w:jc w:val="center"/>
      </w:pPr>
      <w:r>
        <w:rPr>
          <w:i/>
          <w:iCs/>
          <w:color w:val="555555"/>
          <w:sz w:val="20"/>
          <w:szCs w:val="20"/>
        </w:rPr>
        <w:t>Figure 1 — Overall churn rate (26.6%), tenure by churn status, and monthly charges by churn status</w:t>
      </w:r>
    </w:p>
    <w:p w14:paraId="65350DEA" w14:textId="77777777" w:rsidR="00AD5C09" w:rsidRDefault="00AD5C09" w:rsidP="00AD5C09">
      <w:pPr>
        <w:spacing w:before="200" w:after="80"/>
      </w:pPr>
      <w:r>
        <w:rPr>
          <w:b/>
          <w:bCs/>
          <w:color w:val="154360"/>
        </w:rPr>
        <w:t>4.2  Churn by Contract Type</w:t>
      </w:r>
    </w:p>
    <w:p w14:paraId="3F63C74A" w14:textId="77777777" w:rsidR="00AD5C09" w:rsidRDefault="00AD5C09" w:rsidP="00AD5C09">
      <w:pPr>
        <w:spacing w:after="100"/>
        <w:jc w:val="both"/>
      </w:pPr>
      <w:r>
        <w:t>The contract type analysis produced the starkest finding in the entire project. Month-to-month customers generate nearly as many churners as retained customers — a ratio completely different for annual and two-year contracts, where churn is a fraction of the retained base.</w:t>
      </w:r>
    </w:p>
    <w:p w14:paraId="71E13054" w14:textId="77777777" w:rsidR="00AD5C09" w:rsidRDefault="00AD5C09" w:rsidP="00AD5C09">
      <w:pPr>
        <w:spacing w:before="120" w:after="60"/>
        <w:jc w:val="center"/>
      </w:pPr>
      <w:r>
        <w:rPr>
          <w:noProof/>
        </w:rPr>
        <w:drawing>
          <wp:inline distT="0" distB="0" distL="0" distR="0" wp14:anchorId="770AC9D7" wp14:editId="73EE307F">
            <wp:extent cx="4000500" cy="2466975"/>
            <wp:effectExtent l="0" t="0" r="0" b="0"/>
            <wp:docPr id="1321675205" name="Picture 1321675205" descr="A chart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75205" name="Picture 1321675205" descr="A chart of a graph&#10;&#10;Description automatically generated with medium confidence"/>
                    <pic:cNvPicPr>
                      <a:picLocks noChangeAspect="1" noChangeArrowheads="1"/>
                    </pic:cNvPicPr>
                  </pic:nvPicPr>
                  <pic:blipFill>
                    <a:blip r:embed="rId6"/>
                    <a:srcRect/>
                    <a:stretch>
                      <a:fillRect/>
                    </a:stretch>
                  </pic:blipFill>
                  <pic:spPr bwMode="auto">
                    <a:xfrm>
                      <a:off x="0" y="0"/>
                      <a:ext cx="4000500" cy="2466975"/>
                    </a:xfrm>
                    <a:prstGeom prst="rect">
                      <a:avLst/>
                    </a:prstGeom>
                  </pic:spPr>
                </pic:pic>
              </a:graphicData>
            </a:graphic>
          </wp:inline>
        </w:drawing>
      </w:r>
    </w:p>
    <w:p w14:paraId="67080D89" w14:textId="77777777" w:rsidR="00AD5C09" w:rsidRDefault="00AD5C09" w:rsidP="00AD5C09">
      <w:pPr>
        <w:spacing w:before="60" w:after="160"/>
        <w:jc w:val="center"/>
      </w:pPr>
      <w:r>
        <w:rPr>
          <w:i/>
          <w:iCs/>
          <w:color w:val="555555"/>
          <w:sz w:val="20"/>
          <w:szCs w:val="20"/>
        </w:rPr>
        <w:t>Figure 2 — Churn volume by contract type</w:t>
      </w:r>
    </w:p>
    <w:p w14:paraId="3AFC26BF" w14:textId="77777777" w:rsidR="00AD5C09" w:rsidRDefault="00AD5C09" w:rsidP="00AD5C09">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860"/>
        <w:gridCol w:w="3000"/>
      </w:tblGrid>
      <w:tr w:rsidR="00AD5C09" w14:paraId="0D52C809" w14:textId="77777777" w:rsidTr="00D73CB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6674F64" w14:textId="77777777" w:rsidR="00AD5C09" w:rsidRDefault="00AD5C09" w:rsidP="00D73CB0">
            <w:r>
              <w:rPr>
                <w:b/>
                <w:bCs/>
                <w:color w:val="FFFFFF"/>
                <w:sz w:val="20"/>
                <w:szCs w:val="20"/>
              </w:rPr>
              <w:t>Contract Type</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45D9FA5" w14:textId="77777777" w:rsidR="00AD5C09" w:rsidRDefault="00AD5C09" w:rsidP="00D73CB0">
            <w:r>
              <w:rPr>
                <w:b/>
                <w:bCs/>
                <w:color w:val="FFFFFF"/>
                <w:sz w:val="20"/>
                <w:szCs w:val="20"/>
              </w:rPr>
              <w:t>Churn Rate</w:t>
            </w:r>
          </w:p>
        </w:tc>
        <w:tc>
          <w:tcPr>
            <w:tcW w:w="1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6C26192" w14:textId="77777777" w:rsidR="00AD5C09" w:rsidRDefault="00AD5C09" w:rsidP="00D73CB0">
            <w:r>
              <w:rPr>
                <w:b/>
                <w:bCs/>
                <w:color w:val="FFFFFF"/>
                <w:sz w:val="20"/>
                <w:szCs w:val="20"/>
              </w:rPr>
              <w:t>Risk</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A25F5C8" w14:textId="77777777" w:rsidR="00AD5C09" w:rsidRDefault="00AD5C09" w:rsidP="00D73CB0">
            <w:r>
              <w:rPr>
                <w:b/>
                <w:bCs/>
                <w:color w:val="FFFFFF"/>
                <w:sz w:val="20"/>
                <w:szCs w:val="20"/>
              </w:rPr>
              <w:t>Interpretation</w:t>
            </w:r>
          </w:p>
        </w:tc>
      </w:tr>
      <w:tr w:rsidR="00AD5C09" w14:paraId="408F08E5" w14:textId="77777777" w:rsidTr="00D73CB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0B499" w14:textId="77777777" w:rsidR="00AD5C09" w:rsidRDefault="00AD5C09" w:rsidP="00D73CB0">
            <w:r>
              <w:rPr>
                <w:b/>
                <w:bCs/>
                <w:sz w:val="20"/>
                <w:szCs w:val="20"/>
              </w:rPr>
              <w:t>Month-to-Month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D1551" w14:textId="77777777" w:rsidR="00AD5C09" w:rsidRDefault="00AD5C09" w:rsidP="00D73CB0">
            <w:r>
              <w:rPr>
                <w:b/>
                <w:bCs/>
                <w:sz w:val="20"/>
                <w:szCs w:val="20"/>
              </w:rPr>
              <w:t>~43%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7A60F" w14:textId="77777777" w:rsidR="00AD5C09" w:rsidRDefault="00AD5C09" w:rsidP="00D73CB0">
            <w:r>
              <w:rPr>
                <w:b/>
                <w:bCs/>
                <w:sz w:val="20"/>
                <w:szCs w:val="20"/>
              </w:rPr>
              <w:t>HIGH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A5AEC" w14:textId="77777777" w:rsidR="00AD5C09" w:rsidRDefault="00AD5C09" w:rsidP="00D73CB0">
            <w:r>
              <w:rPr>
                <w:sz w:val="20"/>
                <w:szCs w:val="20"/>
              </w:rPr>
              <w:t>Most flexible — easiest to cancel</w:t>
            </w:r>
          </w:p>
        </w:tc>
      </w:tr>
      <w:tr w:rsidR="00AD5C09" w14:paraId="67B63C5B" w14:textId="77777777" w:rsidTr="00D73CB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550817" w14:textId="77777777" w:rsidR="00AD5C09" w:rsidRDefault="00AD5C09" w:rsidP="00D73CB0">
            <w:r>
              <w:rPr>
                <w:b/>
                <w:bCs/>
                <w:sz w:val="20"/>
                <w:szCs w:val="20"/>
              </w:rPr>
              <w:lastRenderedPageBreak/>
              <w:t>One Year</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243E76" w14:textId="77777777" w:rsidR="00AD5C09" w:rsidRDefault="00AD5C09" w:rsidP="00D73CB0">
            <w:r>
              <w:rPr>
                <w:sz w:val="20"/>
                <w:szCs w:val="20"/>
              </w:rPr>
              <w:t>~11%</w:t>
            </w:r>
          </w:p>
        </w:tc>
        <w:tc>
          <w:tcPr>
            <w:tcW w:w="1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7D021D" w14:textId="77777777" w:rsidR="00AD5C09" w:rsidRDefault="00AD5C09" w:rsidP="00D73CB0">
            <w:r>
              <w:rPr>
                <w:sz w:val="20"/>
                <w:szCs w:val="20"/>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C71D26" w14:textId="77777777" w:rsidR="00AD5C09" w:rsidRDefault="00AD5C09" w:rsidP="00D73CB0">
            <w:r>
              <w:rPr>
                <w:sz w:val="20"/>
                <w:szCs w:val="20"/>
              </w:rPr>
              <w:t>Some commitment — moderate loyalty</w:t>
            </w:r>
          </w:p>
        </w:tc>
      </w:tr>
      <w:tr w:rsidR="00AD5C09" w14:paraId="6F93998A" w14:textId="77777777" w:rsidTr="00D73CB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64B25" w14:textId="77777777" w:rsidR="00AD5C09" w:rsidRDefault="00AD5C09" w:rsidP="00D73CB0">
            <w:r>
              <w:rPr>
                <w:b/>
                <w:bCs/>
                <w:sz w:val="20"/>
                <w:szCs w:val="20"/>
              </w:rPr>
              <w:t>Two Year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DAD59" w14:textId="77777777" w:rsidR="00AD5C09" w:rsidRDefault="00AD5C09" w:rsidP="00D73CB0">
            <w:r>
              <w:rPr>
                <w:sz w:val="20"/>
                <w:szCs w:val="20"/>
              </w:rPr>
              <w:t>~3%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0002F" w14:textId="77777777" w:rsidR="00AD5C09" w:rsidRDefault="00AD5C09" w:rsidP="00D73CB0">
            <w:r>
              <w:rPr>
                <w:sz w:val="20"/>
                <w:szCs w:val="20"/>
              </w:rPr>
              <w:t>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3BE2D" w14:textId="77777777" w:rsidR="00AD5C09" w:rsidRDefault="00AD5C09" w:rsidP="00D73CB0">
            <w:r>
              <w:rPr>
                <w:sz w:val="20"/>
                <w:szCs w:val="20"/>
              </w:rPr>
              <w:t>Strong commitment — highly retained</w:t>
            </w:r>
          </w:p>
        </w:tc>
      </w:tr>
    </w:tbl>
    <w:p w14:paraId="0C763122" w14:textId="77777777" w:rsidR="00AD5C09" w:rsidRDefault="00AD5C09" w:rsidP="00AD5C09">
      <w:pPr>
        <w:spacing w:before="280" w:after="80"/>
      </w:pPr>
      <w:r>
        <w:rPr>
          <w:b/>
          <w:bCs/>
          <w:color w:val="1B4F72"/>
          <w:sz w:val="28"/>
          <w:szCs w:val="28"/>
        </w:rPr>
        <w:t>5.  Machine Learning Models</w:t>
      </w:r>
    </w:p>
    <w:p w14:paraId="2CB965F8" w14:textId="77777777" w:rsidR="00AD5C09" w:rsidRDefault="00AD5C09" w:rsidP="00AD5C09">
      <w:pPr>
        <w:spacing w:after="100"/>
        <w:jc w:val="both"/>
      </w:pPr>
      <w:r>
        <w:t>Two classification models were trained and evaluated to predict whether an individual customer would churn. The dataset was split 80/20 into training and test sets using stratified sampling to preserve the natural class ratio in both subsets.</w:t>
      </w:r>
    </w:p>
    <w:p w14:paraId="5F899B02" w14:textId="77777777" w:rsidR="00AD5C09" w:rsidRDefault="00AD5C09" w:rsidP="00AD5C09">
      <w:pPr>
        <w:spacing w:before="200" w:after="80"/>
      </w:pPr>
      <w:r>
        <w:rPr>
          <w:b/>
          <w:bCs/>
          <w:color w:val="154360"/>
        </w:rPr>
        <w:t>5.1  ROC Curve — Model Comparison</w:t>
      </w:r>
    </w:p>
    <w:p w14:paraId="3D0C733E" w14:textId="77777777" w:rsidR="00AD5C09" w:rsidRDefault="00AD5C09" w:rsidP="00AD5C09">
      <w:pPr>
        <w:spacing w:after="100"/>
        <w:jc w:val="both"/>
      </w:pPr>
      <w:r>
        <w:t>The ROC curve is the most informative single visualisation for comparing binary classifiers. A curve that hugs the top-left corner is better. The AUC score summarises performance — 1.0 is perfect, 0.5 is random guessing.</w:t>
      </w:r>
    </w:p>
    <w:p w14:paraId="21ADF15C" w14:textId="77777777" w:rsidR="00AD5C09" w:rsidRDefault="00AD5C09" w:rsidP="00AD5C09">
      <w:pPr>
        <w:spacing w:before="120" w:after="60"/>
        <w:jc w:val="center"/>
      </w:pPr>
      <w:r>
        <w:rPr>
          <w:noProof/>
        </w:rPr>
        <w:drawing>
          <wp:inline distT="0" distB="0" distL="0" distR="0" wp14:anchorId="13C75E6B" wp14:editId="627DE019">
            <wp:extent cx="3524250" cy="2486025"/>
            <wp:effectExtent l="0" t="0" r="0" b="0"/>
            <wp:docPr id="1796289410" name="Picture 1796289410" descr="A graph showing logistic regression and random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89410" name="Picture 1796289410" descr="A graph showing logistic regression and random forest&#10;&#10;Description automatically generated"/>
                    <pic:cNvPicPr>
                      <a:picLocks noChangeAspect="1" noChangeArrowheads="1"/>
                    </pic:cNvPicPr>
                  </pic:nvPicPr>
                  <pic:blipFill>
                    <a:blip r:embed="rId7"/>
                    <a:srcRect/>
                    <a:stretch>
                      <a:fillRect/>
                    </a:stretch>
                  </pic:blipFill>
                  <pic:spPr bwMode="auto">
                    <a:xfrm>
                      <a:off x="0" y="0"/>
                      <a:ext cx="3524250" cy="2486025"/>
                    </a:xfrm>
                    <a:prstGeom prst="rect">
                      <a:avLst/>
                    </a:prstGeom>
                  </pic:spPr>
                </pic:pic>
              </a:graphicData>
            </a:graphic>
          </wp:inline>
        </w:drawing>
      </w:r>
    </w:p>
    <w:p w14:paraId="2911161D" w14:textId="77777777" w:rsidR="00AD5C09" w:rsidRDefault="00AD5C09" w:rsidP="00AD5C09">
      <w:pPr>
        <w:spacing w:before="60" w:after="160"/>
        <w:jc w:val="center"/>
      </w:pPr>
      <w:r>
        <w:rPr>
          <w:i/>
          <w:iCs/>
          <w:color w:val="555555"/>
          <w:sz w:val="20"/>
          <w:szCs w:val="20"/>
        </w:rPr>
        <w:t>Figure 3 — ROC curves for Logistic Regression (AUC = 0.84) and Random Forest (AUC = 0.81)</w:t>
      </w:r>
    </w:p>
    <w:p w14:paraId="0F8A1926" w14:textId="77777777" w:rsidR="00AD5C09" w:rsidRDefault="00AD5C09" w:rsidP="00AD5C09">
      <w:pPr>
        <w:spacing w:before="200" w:after="80"/>
      </w:pPr>
      <w:r>
        <w:rPr>
          <w:b/>
          <w:bCs/>
          <w:color w:val="154360"/>
        </w:rPr>
        <w:t>5.2  Model Performance Summary</w:t>
      </w:r>
    </w:p>
    <w:p w14:paraId="3FF38CA3" w14:textId="77777777" w:rsidR="00AD5C09" w:rsidRDefault="00AD5C09" w:rsidP="00AD5C09">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D5C09" w14:paraId="1ED7A0B0"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D672E24" w14:textId="77777777" w:rsidR="00AD5C09" w:rsidRDefault="00AD5C09" w:rsidP="00D73CB0">
            <w:r>
              <w:rPr>
                <w:b/>
                <w:bCs/>
                <w:color w:val="FFFFFF"/>
                <w:sz w:val="20"/>
                <w:szCs w:val="20"/>
              </w:rPr>
              <w:t>Model</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A620E9D" w14:textId="77777777" w:rsidR="00AD5C09" w:rsidRDefault="00AD5C09" w:rsidP="00D73CB0">
            <w:r>
              <w:rPr>
                <w:b/>
                <w:bCs/>
                <w:color w:val="FFFFFF"/>
                <w:sz w:val="20"/>
                <w:szCs w:val="20"/>
              </w:rPr>
              <w:t>Performance</w:t>
            </w:r>
          </w:p>
        </w:tc>
      </w:tr>
      <w:tr w:rsidR="00AD5C09" w14:paraId="5E7EC902"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C38F5" w14:textId="77777777" w:rsidR="00AD5C09" w:rsidRDefault="00AD5C09" w:rsidP="00D73CB0">
            <w:r>
              <w:rPr>
                <w:b/>
                <w:bCs/>
                <w:sz w:val="20"/>
                <w:szCs w:val="20"/>
              </w:rPr>
              <w:t>Logistic Regression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1F19D" w14:textId="77777777" w:rsidR="00AD5C09" w:rsidRDefault="00AD5C09" w:rsidP="00D73CB0">
            <w:r>
              <w:rPr>
                <w:sz w:val="20"/>
                <w:szCs w:val="20"/>
              </w:rPr>
              <w:t>Accuracy ~80%, AUC 0.84 — best overall performance</w:t>
            </w:r>
          </w:p>
        </w:tc>
      </w:tr>
      <w:tr w:rsidR="00AD5C09" w14:paraId="1174BD38"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F23BAD" w14:textId="77777777" w:rsidR="00AD5C09" w:rsidRDefault="00AD5C09" w:rsidP="00D73CB0">
            <w:r>
              <w:rPr>
                <w:b/>
                <w:bCs/>
                <w:sz w:val="20"/>
                <w:szCs w:val="20"/>
              </w:rPr>
              <w:t>Random Forest</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E82F8B" w14:textId="77777777" w:rsidR="00AD5C09" w:rsidRDefault="00AD5C09" w:rsidP="00D73CB0">
            <w:r>
              <w:rPr>
                <w:sz w:val="20"/>
                <w:szCs w:val="20"/>
              </w:rPr>
              <w:t>Accuracy ~79%, AUC 0.81 — best for feature importance</w:t>
            </w:r>
          </w:p>
        </w:tc>
      </w:tr>
      <w:tr w:rsidR="00AD5C09" w14:paraId="10FCF722"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BB907" w14:textId="77777777" w:rsidR="00AD5C09" w:rsidRDefault="00AD5C09" w:rsidP="00D73CB0">
            <w:r>
              <w:rPr>
                <w:b/>
                <w:bCs/>
                <w:sz w:val="20"/>
                <w:szCs w:val="20"/>
              </w:rPr>
              <w:t>Train/Test Split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61768" w14:textId="77777777" w:rsidR="00AD5C09" w:rsidRDefault="00AD5C09" w:rsidP="00D73CB0">
            <w:r>
              <w:rPr>
                <w:sz w:val="20"/>
                <w:szCs w:val="20"/>
              </w:rPr>
              <w:t>80% training / 20% test, stratified by churn label</w:t>
            </w:r>
          </w:p>
        </w:tc>
      </w:tr>
      <w:tr w:rsidR="00AD5C09" w14:paraId="33CEEB0A"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A17AB0" w14:textId="77777777" w:rsidR="00AD5C09" w:rsidRDefault="00AD5C09" w:rsidP="00D73CB0">
            <w:r>
              <w:rPr>
                <w:b/>
                <w:bCs/>
                <w:sz w:val="20"/>
                <w:szCs w:val="20"/>
              </w:rPr>
              <w:t>Scaling</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EC99A3" w14:textId="77777777" w:rsidR="00AD5C09" w:rsidRDefault="00AD5C09" w:rsidP="00D73CB0">
            <w:proofErr w:type="spellStart"/>
            <w:r>
              <w:rPr>
                <w:sz w:val="20"/>
                <w:szCs w:val="20"/>
              </w:rPr>
              <w:t>StandardScaler</w:t>
            </w:r>
            <w:proofErr w:type="spellEnd"/>
            <w:r>
              <w:rPr>
                <w:sz w:val="20"/>
                <w:szCs w:val="20"/>
              </w:rPr>
              <w:t xml:space="preserve"> applied for Logistic Regression</w:t>
            </w:r>
          </w:p>
        </w:tc>
      </w:tr>
      <w:tr w:rsidR="00AD5C09" w14:paraId="7E918A50" w14:textId="77777777" w:rsidTr="00D73CB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BBCF8" w14:textId="77777777" w:rsidR="00AD5C09" w:rsidRDefault="00AD5C09" w:rsidP="00D73CB0">
            <w:r>
              <w:rPr>
                <w:b/>
                <w:bCs/>
                <w:sz w:val="20"/>
                <w:szCs w:val="20"/>
              </w:rPr>
              <w:t>Random Seed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D43DE" w14:textId="77777777" w:rsidR="00AD5C09" w:rsidRDefault="00AD5C09" w:rsidP="00D73CB0">
            <w:r>
              <w:rPr>
                <w:sz w:val="20"/>
                <w:szCs w:val="20"/>
              </w:rPr>
              <w:t>42 — ensures reproducibility across runs</w:t>
            </w:r>
          </w:p>
        </w:tc>
      </w:tr>
    </w:tbl>
    <w:p w14:paraId="30742A21" w14:textId="77777777" w:rsidR="00AD5C09" w:rsidRDefault="00AD5C09" w:rsidP="00AD5C09">
      <w:pPr>
        <w:spacing w:before="200" w:after="80"/>
      </w:pPr>
      <w:r>
        <w:rPr>
          <w:b/>
          <w:bCs/>
          <w:color w:val="154360"/>
        </w:rPr>
        <w:t>5.3  Confusion Matrices</w:t>
      </w:r>
    </w:p>
    <w:p w14:paraId="7381129F" w14:textId="77777777" w:rsidR="00AD5C09" w:rsidRDefault="00AD5C09" w:rsidP="00AD5C09">
      <w:pPr>
        <w:spacing w:after="100"/>
        <w:jc w:val="both"/>
      </w:pPr>
      <w:r>
        <w:t>The confusion matrices below show how each model classified the test set of 1,409 customers. Correct predictions appear on the diagonal. Logistic Regression correctly identified 215 churners out of 374 (57.5% recall). Random Forest identified 187 out of 374 (50% recall).</w:t>
      </w:r>
    </w:p>
    <w:p w14:paraId="39B44769" w14:textId="77777777" w:rsidR="00AD5C09" w:rsidRDefault="00AD5C09" w:rsidP="00AD5C09">
      <w:pPr>
        <w:spacing w:before="120" w:after="60"/>
        <w:jc w:val="center"/>
      </w:pPr>
      <w:r>
        <w:rPr>
          <w:noProof/>
        </w:rPr>
        <w:lastRenderedPageBreak/>
        <w:drawing>
          <wp:inline distT="0" distB="0" distL="0" distR="0" wp14:anchorId="120B05E3" wp14:editId="4BED9108">
            <wp:extent cx="4667250" cy="1895475"/>
            <wp:effectExtent l="0" t="0" r="0" b="0"/>
            <wp:docPr id="766943333" name="Picture 766943333" descr="A comparison of different colored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43333" name="Picture 766943333" descr="A comparison of different colored boxes&#10;&#10;Description automatically generated with medium confidence"/>
                    <pic:cNvPicPr>
                      <a:picLocks noChangeAspect="1" noChangeArrowheads="1"/>
                    </pic:cNvPicPr>
                  </pic:nvPicPr>
                  <pic:blipFill>
                    <a:blip r:embed="rId8"/>
                    <a:srcRect/>
                    <a:stretch>
                      <a:fillRect/>
                    </a:stretch>
                  </pic:blipFill>
                  <pic:spPr bwMode="auto">
                    <a:xfrm>
                      <a:off x="0" y="0"/>
                      <a:ext cx="4667250" cy="1895475"/>
                    </a:xfrm>
                    <a:prstGeom prst="rect">
                      <a:avLst/>
                    </a:prstGeom>
                  </pic:spPr>
                </pic:pic>
              </a:graphicData>
            </a:graphic>
          </wp:inline>
        </w:drawing>
      </w:r>
    </w:p>
    <w:p w14:paraId="54246554" w14:textId="77777777" w:rsidR="00AD5C09" w:rsidRDefault="00AD5C09" w:rsidP="00AD5C09">
      <w:pPr>
        <w:spacing w:before="60" w:after="160"/>
        <w:jc w:val="center"/>
      </w:pPr>
      <w:r>
        <w:rPr>
          <w:i/>
          <w:iCs/>
          <w:color w:val="555555"/>
          <w:sz w:val="20"/>
          <w:szCs w:val="20"/>
        </w:rPr>
        <w:t>Figure 4 — Confusion matrices for Logistic Regression (left) and Random Forest (right)</w:t>
      </w:r>
    </w:p>
    <w:p w14:paraId="13502DB9" w14:textId="77777777" w:rsidR="00AD5C09" w:rsidRDefault="00AD5C09" w:rsidP="00AD5C09">
      <w:pPr>
        <w:spacing w:before="280" w:after="80"/>
      </w:pPr>
      <w:r>
        <w:rPr>
          <w:b/>
          <w:bCs/>
          <w:color w:val="1B4F72"/>
          <w:sz w:val="28"/>
          <w:szCs w:val="28"/>
        </w:rPr>
        <w:t>6.  Feature Importance</w:t>
      </w:r>
    </w:p>
    <w:p w14:paraId="65A62C48" w14:textId="77777777" w:rsidR="00AD5C09" w:rsidRDefault="00AD5C09" w:rsidP="00AD5C09">
      <w:pPr>
        <w:spacing w:after="100"/>
        <w:jc w:val="both"/>
      </w:pPr>
      <w:r>
        <w:t>One of the most valuable outputs of the Random Forest model is its ability to rank features by predictive importance. This tells us not just whether the model works, but why — which customer attributes are most strongly associated with churn.</w:t>
      </w:r>
    </w:p>
    <w:p w14:paraId="32FDABD6" w14:textId="77777777" w:rsidR="00AD5C09" w:rsidRDefault="00AD5C09" w:rsidP="00AD5C09">
      <w:pPr>
        <w:spacing w:before="120" w:after="60"/>
        <w:jc w:val="center"/>
      </w:pPr>
      <w:r>
        <w:rPr>
          <w:noProof/>
        </w:rPr>
        <w:drawing>
          <wp:inline distT="0" distB="0" distL="0" distR="0" wp14:anchorId="73E1C941" wp14:editId="37F2AB4A">
            <wp:extent cx="4324350" cy="2857500"/>
            <wp:effectExtent l="0" t="0" r="0" b="0"/>
            <wp:docPr id="1901991491" name="Picture 1901991491"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91491" name="Picture 1901991491" descr="A graph with blue and white bars&#10;&#10;Description automatically generated"/>
                    <pic:cNvPicPr>
                      <a:picLocks noChangeAspect="1" noChangeArrowheads="1"/>
                    </pic:cNvPicPr>
                  </pic:nvPicPr>
                  <pic:blipFill>
                    <a:blip r:embed="rId9"/>
                    <a:srcRect/>
                    <a:stretch>
                      <a:fillRect/>
                    </a:stretch>
                  </pic:blipFill>
                  <pic:spPr bwMode="auto">
                    <a:xfrm>
                      <a:off x="0" y="0"/>
                      <a:ext cx="4324350" cy="2857500"/>
                    </a:xfrm>
                    <a:prstGeom prst="rect">
                      <a:avLst/>
                    </a:prstGeom>
                  </pic:spPr>
                </pic:pic>
              </a:graphicData>
            </a:graphic>
          </wp:inline>
        </w:drawing>
      </w:r>
    </w:p>
    <w:p w14:paraId="48B5F6E0" w14:textId="77777777" w:rsidR="00AD5C09" w:rsidRDefault="00AD5C09" w:rsidP="00AD5C09">
      <w:pPr>
        <w:spacing w:before="60" w:after="160"/>
        <w:jc w:val="center"/>
      </w:pPr>
      <w:r>
        <w:rPr>
          <w:i/>
          <w:iCs/>
          <w:color w:val="555555"/>
          <w:sz w:val="20"/>
          <w:szCs w:val="20"/>
        </w:rPr>
        <w:t>Figure 5 — Top 15 features ranked by importance in the Random Forest model</w:t>
      </w:r>
    </w:p>
    <w:p w14:paraId="07CCC9D1" w14:textId="77777777" w:rsidR="00AD5C09" w:rsidRDefault="00AD5C09" w:rsidP="00AD5C09">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D5C09" w14:paraId="0117A34D" w14:textId="77777777" w:rsidTr="00D73CB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667139E" w14:textId="77777777" w:rsidR="00AD5C09" w:rsidRDefault="00AD5C09" w:rsidP="00D73CB0">
            <w:r>
              <w:rPr>
                <w:b/>
                <w:bCs/>
                <w:color w:val="FFFFFF"/>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B68732F" w14:textId="77777777" w:rsidR="00AD5C09" w:rsidRDefault="00AD5C09" w:rsidP="00D73CB0">
            <w:r>
              <w:rPr>
                <w:b/>
                <w:bCs/>
                <w:color w:val="FFFFFF"/>
                <w:sz w:val="20"/>
                <w:szCs w:val="20"/>
              </w:rPr>
              <w:t>Business Interpretation</w:t>
            </w:r>
          </w:p>
        </w:tc>
      </w:tr>
      <w:tr w:rsidR="00AD5C09" w14:paraId="08886B5B" w14:textId="77777777" w:rsidTr="00D73CB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0708E" w14:textId="0D8CED77" w:rsidR="00AD5C09" w:rsidRDefault="00AD5C09" w:rsidP="00D73CB0">
            <w:r>
              <w:rPr>
                <w:b/>
                <w:bCs/>
                <w:sz w:val="20"/>
                <w:szCs w:val="20"/>
              </w:rPr>
              <w:t xml:space="preserve">1.  </w:t>
            </w:r>
            <w:r w:rsidR="006520EA">
              <w:rPr>
                <w:b/>
                <w:bCs/>
                <w:sz w:val="20"/>
                <w:szCs w:val="20"/>
              </w:rPr>
              <w:t>Total Charges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AB82C" w14:textId="77777777" w:rsidR="00AD5C09" w:rsidRDefault="00AD5C09" w:rsidP="00D73CB0">
            <w:r>
              <w:rPr>
                <w:sz w:val="20"/>
                <w:szCs w:val="20"/>
              </w:rPr>
              <w:t>Lifetime revenue — proxy for loyalty depth</w:t>
            </w:r>
          </w:p>
        </w:tc>
      </w:tr>
      <w:tr w:rsidR="00AD5C09" w14:paraId="3404EFF9" w14:textId="77777777" w:rsidTr="00D73CB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8B347C" w14:textId="77777777" w:rsidR="00AD5C09" w:rsidRDefault="00AD5C09" w:rsidP="00D73CB0">
            <w:r>
              <w:rPr>
                <w:b/>
                <w:bCs/>
                <w:sz w:val="20"/>
                <w:szCs w:val="20"/>
              </w:rPr>
              <w:t>2.  Tenure</w:t>
            </w:r>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695C41" w14:textId="77777777" w:rsidR="00AD5C09" w:rsidRDefault="00AD5C09" w:rsidP="00D73CB0">
            <w:r>
              <w:rPr>
                <w:sz w:val="20"/>
                <w:szCs w:val="20"/>
              </w:rPr>
              <w:t>Months with company — strongest retention signal</w:t>
            </w:r>
          </w:p>
        </w:tc>
      </w:tr>
      <w:tr w:rsidR="00AD5C09" w14:paraId="34137826" w14:textId="77777777" w:rsidTr="00D73CB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6EC70" w14:textId="30D9B8E3" w:rsidR="00AD5C09" w:rsidRDefault="00AD5C09" w:rsidP="00D73CB0">
            <w:r>
              <w:rPr>
                <w:b/>
                <w:bCs/>
                <w:sz w:val="20"/>
                <w:szCs w:val="20"/>
              </w:rPr>
              <w:t xml:space="preserve">3.  </w:t>
            </w:r>
            <w:r w:rsidR="006520EA">
              <w:rPr>
                <w:b/>
                <w:bCs/>
                <w:sz w:val="20"/>
                <w:szCs w:val="20"/>
              </w:rPr>
              <w:t>Monthly Charges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95B61" w14:textId="77777777" w:rsidR="00AD5C09" w:rsidRDefault="00AD5C09" w:rsidP="00D73CB0">
            <w:r>
              <w:rPr>
                <w:sz w:val="20"/>
                <w:szCs w:val="20"/>
              </w:rPr>
              <w:t>Higher bills create price sensitivity and churn risk</w:t>
            </w:r>
          </w:p>
        </w:tc>
      </w:tr>
      <w:tr w:rsidR="00AD5C09" w14:paraId="0D4F766B" w14:textId="77777777" w:rsidTr="00D73CB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F51076" w14:textId="77777777" w:rsidR="00AD5C09" w:rsidRDefault="00AD5C09" w:rsidP="00D73CB0">
            <w:r>
              <w:rPr>
                <w:b/>
                <w:bCs/>
                <w:sz w:val="20"/>
                <w:szCs w:val="20"/>
              </w:rPr>
              <w:t>4.  Electronic Check</w:t>
            </w:r>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8563B8" w14:textId="77777777" w:rsidR="00AD5C09" w:rsidRDefault="00AD5C09" w:rsidP="00D73CB0">
            <w:r>
              <w:rPr>
                <w:sz w:val="20"/>
                <w:szCs w:val="20"/>
              </w:rPr>
              <w:t>Associated with less engaged, higher-risk customers</w:t>
            </w:r>
          </w:p>
        </w:tc>
      </w:tr>
      <w:tr w:rsidR="00AD5C09" w14:paraId="22A4A29A" w14:textId="77777777" w:rsidTr="00D73CB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EA1FD" w14:textId="77777777" w:rsidR="00AD5C09" w:rsidRDefault="00AD5C09" w:rsidP="00D73CB0">
            <w:r>
              <w:rPr>
                <w:b/>
                <w:bCs/>
                <w:sz w:val="20"/>
                <w:szCs w:val="20"/>
              </w:rPr>
              <w:t>5.  Fibre Optic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94CD0" w14:textId="77777777" w:rsidR="00AD5C09" w:rsidRDefault="00AD5C09" w:rsidP="00D73CB0">
            <w:r>
              <w:rPr>
                <w:sz w:val="20"/>
                <w:szCs w:val="20"/>
              </w:rPr>
              <w:t>Fibre customers churn more — possibly price-related</w:t>
            </w:r>
          </w:p>
        </w:tc>
      </w:tr>
      <w:tr w:rsidR="00AD5C09" w14:paraId="3226DDDB" w14:textId="77777777" w:rsidTr="00D73CB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FEBC06" w14:textId="77777777" w:rsidR="00AD5C09" w:rsidRDefault="00AD5C09" w:rsidP="00D73CB0">
            <w:r>
              <w:rPr>
                <w:b/>
                <w:bCs/>
                <w:sz w:val="20"/>
                <w:szCs w:val="20"/>
              </w:rPr>
              <w:t>6.  Two-Year Contract</w:t>
            </w:r>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7FEFFE" w14:textId="77777777" w:rsidR="00AD5C09" w:rsidRDefault="00AD5C09" w:rsidP="00D73CB0">
            <w:r>
              <w:rPr>
                <w:sz w:val="20"/>
                <w:szCs w:val="20"/>
              </w:rPr>
              <w:t>Strong negative predictor — two-year customers stay</w:t>
            </w:r>
          </w:p>
        </w:tc>
      </w:tr>
      <w:tr w:rsidR="00AD5C09" w14:paraId="70D97DC6" w14:textId="77777777" w:rsidTr="00D73CB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9FAB2" w14:textId="77777777" w:rsidR="00AD5C09" w:rsidRDefault="00AD5C09" w:rsidP="00D73CB0">
            <w:r>
              <w:rPr>
                <w:b/>
                <w:bCs/>
                <w:sz w:val="20"/>
                <w:szCs w:val="20"/>
              </w:rPr>
              <w:t>7.  Online Security / Tech Support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333DD" w14:textId="77777777" w:rsidR="00AD5C09" w:rsidRDefault="00AD5C09" w:rsidP="00D73CB0">
            <w:r>
              <w:rPr>
                <w:sz w:val="20"/>
                <w:szCs w:val="20"/>
              </w:rPr>
              <w:t>Lacking these services is associated with higher churn</w:t>
            </w:r>
          </w:p>
        </w:tc>
      </w:tr>
    </w:tbl>
    <w:p w14:paraId="62BB029F" w14:textId="77777777" w:rsidR="00AD5C09" w:rsidRDefault="00AD5C09" w:rsidP="00AD5C09">
      <w:pPr>
        <w:spacing w:before="280" w:after="80"/>
      </w:pPr>
      <w:r>
        <w:rPr>
          <w:b/>
          <w:bCs/>
          <w:color w:val="1B4F72"/>
          <w:sz w:val="28"/>
          <w:szCs w:val="28"/>
        </w:rPr>
        <w:lastRenderedPageBreak/>
        <w:t>7.  Business Recommendations</w:t>
      </w:r>
    </w:p>
    <w:p w14:paraId="01C01394" w14:textId="77777777" w:rsidR="00AD5C09" w:rsidRDefault="00AD5C09" w:rsidP="00AD5C09">
      <w:pPr>
        <w:spacing w:after="100"/>
        <w:jc w:val="both"/>
      </w:pPr>
      <w:r>
        <w:t>Data analysis has value only when it leads to action. The following four recommendations are drawn directly from the patterns identified in this analysis and are ordered by estimated business impact.</w:t>
      </w:r>
    </w:p>
    <w:p w14:paraId="40BBD32E" w14:textId="77777777" w:rsidR="00AD5C09" w:rsidRDefault="00AD5C09" w:rsidP="00AD5C09">
      <w:pPr>
        <w:spacing w:before="200" w:after="80"/>
      </w:pPr>
      <w:r>
        <w:rPr>
          <w:b/>
          <w:bCs/>
          <w:color w:val="154360"/>
        </w:rPr>
        <w:t>Recommendation 1 — Convert Month-to-Month Customers</w:t>
      </w:r>
    </w:p>
    <w:p w14:paraId="00A17152" w14:textId="77777777" w:rsidR="00AD5C09" w:rsidRDefault="00AD5C09" w:rsidP="00AD5C09">
      <w:pPr>
        <w:spacing w:after="100"/>
        <w:jc w:val="both"/>
      </w:pPr>
      <w:r>
        <w:t>With a churn rate of approximately 43%, month-to-month customers represent the highest-priority intervention target. Two-year customers churn at just 3% — contract length is the single strongest categorical predictor of retention.</w:t>
      </w:r>
    </w:p>
    <w:p w14:paraId="4C850698" w14:textId="77777777" w:rsidR="00AD5C09" w:rsidRDefault="00AD5C09" w:rsidP="00AD5C09">
      <w:pPr>
        <w:pStyle w:val="ListParagraph"/>
        <w:numPr>
          <w:ilvl w:val="0"/>
          <w:numId w:val="1"/>
        </w:numPr>
        <w:spacing w:after="60"/>
        <w:contextualSpacing w:val="0"/>
      </w:pPr>
      <w:r>
        <w:t>Offer a meaningful discount (10–15%) or free service upgrade to customers who switch to annual contracts</w:t>
      </w:r>
    </w:p>
    <w:p w14:paraId="265ACAB7" w14:textId="77777777" w:rsidR="00AD5C09" w:rsidRDefault="00AD5C09" w:rsidP="00AD5C09">
      <w:pPr>
        <w:pStyle w:val="ListParagraph"/>
        <w:numPr>
          <w:ilvl w:val="0"/>
          <w:numId w:val="1"/>
        </w:numPr>
        <w:spacing w:after="60"/>
        <w:contextualSpacing w:val="0"/>
      </w:pPr>
      <w:r>
        <w:t>Run targeted campaigns at the 6-month mark — before the first natural break point where customers reassess</w:t>
      </w:r>
    </w:p>
    <w:p w14:paraId="041F9717" w14:textId="77777777" w:rsidR="00AD5C09" w:rsidRDefault="00AD5C09" w:rsidP="00AD5C09">
      <w:pPr>
        <w:pStyle w:val="ListParagraph"/>
        <w:numPr>
          <w:ilvl w:val="0"/>
          <w:numId w:val="1"/>
        </w:numPr>
        <w:spacing w:after="60"/>
        <w:contextualSpacing w:val="0"/>
      </w:pPr>
      <w:r>
        <w:t>Position long-term contracts as a benefit rather than a lock-in to reduce resistance</w:t>
      </w:r>
    </w:p>
    <w:p w14:paraId="4AF40135" w14:textId="77777777" w:rsidR="00AD5C09" w:rsidRDefault="00AD5C09" w:rsidP="00AD5C09">
      <w:pPr>
        <w:spacing w:before="200" w:after="80"/>
      </w:pPr>
      <w:r>
        <w:rPr>
          <w:b/>
          <w:bCs/>
          <w:color w:val="154360"/>
        </w:rPr>
        <w:t>Recommendation 2 — Prioritise the First 18 Months</w:t>
      </w:r>
    </w:p>
    <w:p w14:paraId="0DDF1C68" w14:textId="77777777" w:rsidR="00AD5C09" w:rsidRDefault="00AD5C09" w:rsidP="00AD5C09">
      <w:pPr>
        <w:spacing w:after="100"/>
        <w:jc w:val="both"/>
      </w:pPr>
      <w:r>
        <w:t>The tenure analysis shows that churned customers leave early — median tenure for a churned customer is around 10 months. The first year and a half is the most critical window for intervention.</w:t>
      </w:r>
    </w:p>
    <w:p w14:paraId="43518691" w14:textId="77777777" w:rsidR="00AD5C09" w:rsidRDefault="00AD5C09" w:rsidP="00AD5C09">
      <w:pPr>
        <w:pStyle w:val="ListParagraph"/>
        <w:numPr>
          <w:ilvl w:val="0"/>
          <w:numId w:val="1"/>
        </w:numPr>
        <w:spacing w:after="60"/>
        <w:contextualSpacing w:val="0"/>
      </w:pPr>
      <w:r>
        <w:t>Assign proactive customer success touchpoints at months 1, 3, 6, 12, and 18</w:t>
      </w:r>
    </w:p>
    <w:p w14:paraId="29A438C7" w14:textId="77777777" w:rsidR="00AD5C09" w:rsidRDefault="00AD5C09" w:rsidP="00AD5C09">
      <w:pPr>
        <w:pStyle w:val="ListParagraph"/>
        <w:numPr>
          <w:ilvl w:val="0"/>
          <w:numId w:val="1"/>
        </w:numPr>
        <w:spacing w:after="60"/>
        <w:contextualSpacing w:val="0"/>
      </w:pPr>
      <w:r>
        <w:t>Use the predictive model to flag new customers who match the high-risk profile and prioritise them for outreach</w:t>
      </w:r>
    </w:p>
    <w:p w14:paraId="1C22E471" w14:textId="77777777" w:rsidR="00AD5C09" w:rsidRDefault="00AD5C09" w:rsidP="00AD5C09">
      <w:pPr>
        <w:spacing w:before="200" w:after="80"/>
      </w:pPr>
      <w:r>
        <w:rPr>
          <w:b/>
          <w:bCs/>
          <w:color w:val="154360"/>
        </w:rPr>
        <w:t>Recommendation 3 — Bundle Technical Support for New Customers</w:t>
      </w:r>
    </w:p>
    <w:p w14:paraId="01A274BB" w14:textId="77777777" w:rsidR="00AD5C09" w:rsidRDefault="00AD5C09" w:rsidP="00AD5C09">
      <w:pPr>
        <w:spacing w:after="100"/>
        <w:jc w:val="both"/>
      </w:pPr>
      <w:r>
        <w:t>Technical support appeared in the top 10 predictive features. Customers without it churn more. Including tech support in entry-level plans — or offering it free for the first 6 months — is a low-cost way to improve early experience and reduce churn.</w:t>
      </w:r>
    </w:p>
    <w:p w14:paraId="5064EDD1" w14:textId="77777777" w:rsidR="00AD5C09" w:rsidRDefault="00AD5C09" w:rsidP="00AD5C09">
      <w:pPr>
        <w:spacing w:before="200" w:after="80"/>
      </w:pPr>
      <w:r>
        <w:rPr>
          <w:b/>
          <w:bCs/>
          <w:color w:val="154360"/>
        </w:rPr>
        <w:t>Recommendation 4 — Review Pricing for High-Bill Customers</w:t>
      </w:r>
    </w:p>
    <w:p w14:paraId="4B045A7F" w14:textId="77777777" w:rsidR="00AD5C09" w:rsidRDefault="00AD5C09" w:rsidP="00AD5C09">
      <w:pPr>
        <w:spacing w:after="100"/>
        <w:jc w:val="both"/>
      </w:pPr>
      <w:r>
        <w:t>Churned customers pay an average of approximately £74–80/month, compared to £60–65 for retained customers. Customers paying above £70/month should be considered a price-sensitive segment. Loyalty pricing or value-add bundles for this group could improve retention without broad price reductions.</w:t>
      </w:r>
    </w:p>
    <w:p w14:paraId="01108AD7" w14:textId="77777777" w:rsidR="00AD5C09" w:rsidRDefault="00AD5C09" w:rsidP="00AD5C09">
      <w:pPr>
        <w:spacing w:before="280" w:after="80"/>
      </w:pPr>
      <w:r>
        <w:rPr>
          <w:b/>
          <w:bCs/>
          <w:color w:val="1B4F72"/>
          <w:sz w:val="28"/>
          <w:szCs w:val="28"/>
        </w:rPr>
        <w:t>8.  Conclusion</w:t>
      </w:r>
    </w:p>
    <w:p w14:paraId="250FD781" w14:textId="77777777" w:rsidR="00AD5C09" w:rsidRDefault="00AD5C09" w:rsidP="00AD5C09">
      <w:pPr>
        <w:spacing w:after="100"/>
        <w:jc w:val="both"/>
      </w:pPr>
      <w:r>
        <w:t>This project demonstrated how a structured data science approach can turn raw customer records into clear, actionable business insight. Starting from a dataset of 7,043 telecom customers, the analysis moved through data cleaning, exploratory analysis, predictive modelling, and business interpretation — covering the complete workflow that organisations rely on to make better decisions.</w:t>
      </w:r>
    </w:p>
    <w:p w14:paraId="6BCB4235" w14:textId="77777777" w:rsidR="00AD5C09" w:rsidRDefault="00AD5C09" w:rsidP="00AD5C09">
      <w:pPr>
        <w:spacing w:after="100"/>
        <w:jc w:val="both"/>
      </w:pPr>
      <w:r>
        <w:t>The most important finding was deceptively simple: the type of contract a customer holds is the most powerful predictor of whether they will stay or leave. Month-to-month customers churn at a rate over 14 times higher than two-year contract holders. Addressing this one factor through targeted incentives and smarter onboarding could have a measurable impact on revenue retention.</w:t>
      </w:r>
    </w:p>
    <w:p w14:paraId="6FB7DCFE" w14:textId="77777777" w:rsidR="00AD5C09" w:rsidRDefault="00AD5C09" w:rsidP="00AD5C09">
      <w:pPr>
        <w:spacing w:after="100"/>
        <w:jc w:val="both"/>
      </w:pPr>
      <w:r>
        <w:lastRenderedPageBreak/>
        <w:t>The machine learning models — particularly Logistic Regression with an AUC of 0.84 — provide a reliable foundation for a churn prediction system. With further refinement, including threshold optimisation and class balancing techniques such as SMOTE, these models could be deployed in a real production environment to flag at-risk customers before they cancel.</w:t>
      </w:r>
    </w:p>
    <w:p w14:paraId="7BA5F222" w14:textId="77777777" w:rsidR="00AD5C09" w:rsidRDefault="00AD5C09" w:rsidP="00AD5C09">
      <w:pPr>
        <w:spacing w:before="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D5C09" w14:paraId="09C1655D" w14:textId="77777777" w:rsidTr="00D73CB0">
        <w:tblPrEx>
          <w:tblCellMar>
            <w:top w:w="0" w:type="dxa"/>
            <w:bottom w:w="0" w:type="dxa"/>
          </w:tblCellMar>
        </w:tblPrEx>
        <w:tc>
          <w:tcPr>
            <w:tcW w:w="2340" w:type="dxa"/>
            <w:tcBorders>
              <w:top w:val="nil"/>
              <w:left w:val="nil"/>
              <w:bottom w:val="nil"/>
              <w:right w:val="nil"/>
            </w:tcBorders>
            <w:shd w:val="clear" w:color="auto" w:fill="1B4F72"/>
            <w:tcMar>
              <w:top w:w="120" w:type="dxa"/>
              <w:left w:w="120" w:type="dxa"/>
              <w:bottom w:w="120" w:type="dxa"/>
              <w:right w:w="120" w:type="dxa"/>
            </w:tcMar>
            <w:vAlign w:val="center"/>
          </w:tcPr>
          <w:p w14:paraId="2846F7EA" w14:textId="77777777" w:rsidR="00AD5C09" w:rsidRDefault="00AD5C09" w:rsidP="00D73CB0">
            <w:pPr>
              <w:jc w:val="center"/>
            </w:pPr>
            <w:r>
              <w:rPr>
                <w:b/>
                <w:bCs/>
                <w:color w:val="FFFFFF"/>
                <w:sz w:val="56"/>
                <w:szCs w:val="56"/>
              </w:rPr>
              <w:t>7,043</w:t>
            </w:r>
          </w:p>
          <w:p w14:paraId="45A1A5B2" w14:textId="77777777" w:rsidR="00AD5C09" w:rsidRDefault="00AD5C09" w:rsidP="00D73CB0">
            <w:pPr>
              <w:jc w:val="center"/>
            </w:pPr>
            <w:r>
              <w:rPr>
                <w:color w:val="D6EAF8"/>
                <w:sz w:val="20"/>
                <w:szCs w:val="20"/>
              </w:rPr>
              <w:t>Records Analysed</w:t>
            </w:r>
          </w:p>
        </w:tc>
        <w:tc>
          <w:tcPr>
            <w:tcW w:w="2340" w:type="dxa"/>
            <w:tcBorders>
              <w:top w:val="nil"/>
              <w:left w:val="nil"/>
              <w:bottom w:val="nil"/>
              <w:right w:val="nil"/>
            </w:tcBorders>
            <w:shd w:val="clear" w:color="auto" w:fill="1B4F72"/>
            <w:tcMar>
              <w:top w:w="120" w:type="dxa"/>
              <w:left w:w="120" w:type="dxa"/>
              <w:bottom w:w="120" w:type="dxa"/>
              <w:right w:w="120" w:type="dxa"/>
            </w:tcMar>
            <w:vAlign w:val="center"/>
          </w:tcPr>
          <w:p w14:paraId="655E87C3" w14:textId="77777777" w:rsidR="00AD5C09" w:rsidRDefault="00AD5C09" w:rsidP="00D73CB0">
            <w:pPr>
              <w:jc w:val="center"/>
            </w:pPr>
            <w:r>
              <w:rPr>
                <w:b/>
                <w:bCs/>
                <w:color w:val="FFFFFF"/>
                <w:sz w:val="56"/>
                <w:szCs w:val="56"/>
              </w:rPr>
              <w:t>5</w:t>
            </w:r>
          </w:p>
          <w:p w14:paraId="768B2578" w14:textId="77777777" w:rsidR="00AD5C09" w:rsidRDefault="00AD5C09" w:rsidP="00D73CB0">
            <w:pPr>
              <w:jc w:val="center"/>
            </w:pPr>
            <w:r>
              <w:rPr>
                <w:color w:val="D6EAF8"/>
                <w:sz w:val="20"/>
                <w:szCs w:val="20"/>
              </w:rPr>
              <w:t>Charts Produced</w:t>
            </w:r>
          </w:p>
        </w:tc>
        <w:tc>
          <w:tcPr>
            <w:tcW w:w="2340" w:type="dxa"/>
            <w:tcBorders>
              <w:top w:val="nil"/>
              <w:left w:val="nil"/>
              <w:bottom w:val="nil"/>
              <w:right w:val="nil"/>
            </w:tcBorders>
            <w:shd w:val="clear" w:color="auto" w:fill="1B4F72"/>
            <w:tcMar>
              <w:top w:w="120" w:type="dxa"/>
              <w:left w:w="120" w:type="dxa"/>
              <w:bottom w:w="120" w:type="dxa"/>
              <w:right w:w="120" w:type="dxa"/>
            </w:tcMar>
            <w:vAlign w:val="center"/>
          </w:tcPr>
          <w:p w14:paraId="5329606F" w14:textId="77777777" w:rsidR="00AD5C09" w:rsidRDefault="00AD5C09" w:rsidP="00D73CB0">
            <w:pPr>
              <w:jc w:val="center"/>
            </w:pPr>
            <w:r>
              <w:rPr>
                <w:b/>
                <w:bCs/>
                <w:color w:val="FFFFFF"/>
                <w:sz w:val="56"/>
                <w:szCs w:val="56"/>
              </w:rPr>
              <w:t>0.84</w:t>
            </w:r>
          </w:p>
          <w:p w14:paraId="7565551E" w14:textId="77777777" w:rsidR="00AD5C09" w:rsidRDefault="00AD5C09" w:rsidP="00D73CB0">
            <w:pPr>
              <w:jc w:val="center"/>
            </w:pPr>
            <w:r>
              <w:rPr>
                <w:color w:val="D6EAF8"/>
                <w:sz w:val="20"/>
                <w:szCs w:val="20"/>
              </w:rPr>
              <w:t>Best AUC Score</w:t>
            </w:r>
          </w:p>
        </w:tc>
        <w:tc>
          <w:tcPr>
            <w:tcW w:w="2340" w:type="dxa"/>
            <w:tcBorders>
              <w:top w:val="nil"/>
              <w:left w:val="nil"/>
              <w:bottom w:val="nil"/>
              <w:right w:val="nil"/>
            </w:tcBorders>
            <w:shd w:val="clear" w:color="auto" w:fill="1B4F72"/>
            <w:tcMar>
              <w:top w:w="120" w:type="dxa"/>
              <w:left w:w="120" w:type="dxa"/>
              <w:bottom w:w="120" w:type="dxa"/>
              <w:right w:w="120" w:type="dxa"/>
            </w:tcMar>
            <w:vAlign w:val="center"/>
          </w:tcPr>
          <w:p w14:paraId="4B7F5516" w14:textId="77777777" w:rsidR="00AD5C09" w:rsidRDefault="00AD5C09" w:rsidP="00D73CB0">
            <w:pPr>
              <w:jc w:val="center"/>
            </w:pPr>
            <w:r>
              <w:rPr>
                <w:b/>
                <w:bCs/>
                <w:color w:val="FFFFFF"/>
                <w:sz w:val="56"/>
                <w:szCs w:val="56"/>
              </w:rPr>
              <w:t>4</w:t>
            </w:r>
          </w:p>
          <w:p w14:paraId="6EF00A20" w14:textId="77777777" w:rsidR="00AD5C09" w:rsidRDefault="00AD5C09" w:rsidP="00D73CB0">
            <w:pPr>
              <w:jc w:val="center"/>
            </w:pPr>
            <w:r>
              <w:rPr>
                <w:color w:val="D6EAF8"/>
                <w:sz w:val="20"/>
                <w:szCs w:val="20"/>
              </w:rPr>
              <w:t>Recommendations</w:t>
            </w:r>
          </w:p>
        </w:tc>
      </w:tr>
    </w:tbl>
    <w:p w14:paraId="0896DA67" w14:textId="77777777" w:rsidR="004D667F" w:rsidRDefault="004D667F" w:rsidP="00AD5C09">
      <w:pPr>
        <w:jc w:val="center"/>
      </w:pPr>
    </w:p>
    <w:sectPr w:rsidR="004D667F" w:rsidSect="00AD5C09">
      <w:type w:val="continuous"/>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466FE"/>
    <w:multiLevelType w:val="hybridMultilevel"/>
    <w:tmpl w:val="EEEA292E"/>
    <w:lvl w:ilvl="0" w:tplc="2FC648BA">
      <w:start w:val="1"/>
      <w:numFmt w:val="bullet"/>
      <w:lvlText w:val="•"/>
      <w:lvlJc w:val="left"/>
      <w:pPr>
        <w:ind w:left="720" w:hanging="360"/>
      </w:pPr>
    </w:lvl>
    <w:lvl w:ilvl="1" w:tplc="6B4CE216">
      <w:numFmt w:val="decimal"/>
      <w:lvlText w:val=""/>
      <w:lvlJc w:val="left"/>
    </w:lvl>
    <w:lvl w:ilvl="2" w:tplc="E36AD54E">
      <w:numFmt w:val="decimal"/>
      <w:lvlText w:val=""/>
      <w:lvlJc w:val="left"/>
    </w:lvl>
    <w:lvl w:ilvl="3" w:tplc="C8A019A6">
      <w:numFmt w:val="decimal"/>
      <w:lvlText w:val=""/>
      <w:lvlJc w:val="left"/>
    </w:lvl>
    <w:lvl w:ilvl="4" w:tplc="44EC68C0">
      <w:numFmt w:val="decimal"/>
      <w:lvlText w:val=""/>
      <w:lvlJc w:val="left"/>
    </w:lvl>
    <w:lvl w:ilvl="5" w:tplc="FF0C0844">
      <w:numFmt w:val="decimal"/>
      <w:lvlText w:val=""/>
      <w:lvlJc w:val="left"/>
    </w:lvl>
    <w:lvl w:ilvl="6" w:tplc="63CC00A2">
      <w:numFmt w:val="decimal"/>
      <w:lvlText w:val=""/>
      <w:lvlJc w:val="left"/>
    </w:lvl>
    <w:lvl w:ilvl="7" w:tplc="C15A5350">
      <w:numFmt w:val="decimal"/>
      <w:lvlText w:val=""/>
      <w:lvlJc w:val="left"/>
    </w:lvl>
    <w:lvl w:ilvl="8" w:tplc="98B6EC5C">
      <w:numFmt w:val="decimal"/>
      <w:lvlText w:val=""/>
      <w:lvlJc w:val="left"/>
    </w:lvl>
  </w:abstractNum>
  <w:num w:numId="1" w16cid:durableId="1726366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C09"/>
    <w:rsid w:val="001C6A21"/>
    <w:rsid w:val="00475120"/>
    <w:rsid w:val="004D667F"/>
    <w:rsid w:val="006520EA"/>
    <w:rsid w:val="006B2789"/>
    <w:rsid w:val="00AB0155"/>
    <w:rsid w:val="00AD5C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DE4930"/>
  <w15:chartTrackingRefBased/>
  <w15:docId w15:val="{532ED50A-D0C2-C645-A9A9-C2CC6CDFF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C09"/>
    <w:pPr>
      <w:spacing w:after="0" w:line="240" w:lineRule="auto"/>
    </w:pPr>
    <w:rPr>
      <w:rFonts w:ascii="Calibri" w:eastAsia="Calibri" w:hAnsi="Calibri" w:cs="Calibri"/>
      <w:kern w:val="0"/>
      <w:lang w:eastAsia="en-GB"/>
      <w14:ligatures w14:val="none"/>
    </w:rPr>
  </w:style>
  <w:style w:type="paragraph" w:styleId="Heading1">
    <w:name w:val="heading 1"/>
    <w:basedOn w:val="Normal"/>
    <w:next w:val="Normal"/>
    <w:link w:val="Heading1Char"/>
    <w:uiPriority w:val="9"/>
    <w:qFormat/>
    <w:rsid w:val="00AD5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C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C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C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C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C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C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C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C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C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C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C09"/>
    <w:rPr>
      <w:rFonts w:eastAsiaTheme="majorEastAsia" w:cstheme="majorBidi"/>
      <w:color w:val="272727" w:themeColor="text1" w:themeTint="D8"/>
    </w:rPr>
  </w:style>
  <w:style w:type="paragraph" w:styleId="Title">
    <w:name w:val="Title"/>
    <w:basedOn w:val="Normal"/>
    <w:next w:val="Normal"/>
    <w:link w:val="TitleChar"/>
    <w:uiPriority w:val="10"/>
    <w:qFormat/>
    <w:rsid w:val="00AD5C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C09"/>
    <w:pPr>
      <w:spacing w:before="160"/>
      <w:jc w:val="center"/>
    </w:pPr>
    <w:rPr>
      <w:i/>
      <w:iCs/>
      <w:color w:val="404040" w:themeColor="text1" w:themeTint="BF"/>
    </w:rPr>
  </w:style>
  <w:style w:type="character" w:customStyle="1" w:styleId="QuoteChar">
    <w:name w:val="Quote Char"/>
    <w:basedOn w:val="DefaultParagraphFont"/>
    <w:link w:val="Quote"/>
    <w:uiPriority w:val="29"/>
    <w:rsid w:val="00AD5C09"/>
    <w:rPr>
      <w:i/>
      <w:iCs/>
      <w:color w:val="404040" w:themeColor="text1" w:themeTint="BF"/>
    </w:rPr>
  </w:style>
  <w:style w:type="paragraph" w:styleId="ListParagraph">
    <w:name w:val="List Paragraph"/>
    <w:basedOn w:val="Normal"/>
    <w:qFormat/>
    <w:rsid w:val="00AD5C09"/>
    <w:pPr>
      <w:ind w:left="720"/>
      <w:contextualSpacing/>
    </w:pPr>
  </w:style>
  <w:style w:type="character" w:styleId="IntenseEmphasis">
    <w:name w:val="Intense Emphasis"/>
    <w:basedOn w:val="DefaultParagraphFont"/>
    <w:uiPriority w:val="21"/>
    <w:qFormat/>
    <w:rsid w:val="00AD5C09"/>
    <w:rPr>
      <w:i/>
      <w:iCs/>
      <w:color w:val="0F4761" w:themeColor="accent1" w:themeShade="BF"/>
    </w:rPr>
  </w:style>
  <w:style w:type="paragraph" w:styleId="IntenseQuote">
    <w:name w:val="Intense Quote"/>
    <w:basedOn w:val="Normal"/>
    <w:next w:val="Normal"/>
    <w:link w:val="IntenseQuoteChar"/>
    <w:uiPriority w:val="30"/>
    <w:qFormat/>
    <w:rsid w:val="00A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C09"/>
    <w:rPr>
      <w:i/>
      <w:iCs/>
      <w:color w:val="0F4761" w:themeColor="accent1" w:themeShade="BF"/>
    </w:rPr>
  </w:style>
  <w:style w:type="character" w:styleId="IntenseReference">
    <w:name w:val="Intense Reference"/>
    <w:basedOn w:val="DefaultParagraphFont"/>
    <w:uiPriority w:val="32"/>
    <w:qFormat/>
    <w:rsid w:val="00AD5C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 B</dc:creator>
  <cp:keywords/>
  <dc:description/>
  <cp:lastModifiedBy>kamali B</cp:lastModifiedBy>
  <cp:revision>2</cp:revision>
  <dcterms:created xsi:type="dcterms:W3CDTF">2026-04-20T20:51:00Z</dcterms:created>
  <dcterms:modified xsi:type="dcterms:W3CDTF">2026-04-20T21:02:00Z</dcterms:modified>
</cp:coreProperties>
</file>