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40"/>
        <w:jc w:val="center"/>
      </w:pPr>
      <w:r>
        <w:rPr>
          <w:b/>
          <w:bCs/>
          <w:color w:val="5B6B60"/>
          <w:sz w:val="20"/>
          <w:szCs w:val="20"/>
        </w:rPr>
        <w:t xml:space="preserve">AI-Powered Agricultural Procurement Decision Support System</w:t>
      </w:r>
    </w:p>
    <w:p>
      <w:pPr>
        <w:spacing w:after="40"/>
        <w:jc w:val="center"/>
      </w:pPr>
      <w:r>
        <w:rPr>
          <w:b/>
          <w:bCs/>
          <w:color w:val="8A5A00"/>
          <w:sz w:val="24"/>
          <w:szCs w:val="24"/>
        </w:rPr>
        <w:t xml:space="preserve">Member 1 — Research Guide</w:t>
      </w:r>
    </w:p>
    <w:p>
      <w:pPr>
        <w:spacing w:after="40"/>
        <w:jc w:val="center"/>
      </w:pPr>
      <w:r>
        <w:rPr>
          <w:b/>
          <w:bCs/>
          <w:color w:val="1F5C3F"/>
          <w:sz w:val="42"/>
          <w:szCs w:val="42"/>
        </w:rPr>
        <w:t xml:space="preserve">What-If Scenario Prediction Engine</w:t>
      </w:r>
    </w:p>
    <w:p>
      <w:pPr>
        <w:spacing w:after="240"/>
        <w:jc w:val="center"/>
      </w:pPr>
      <w:r>
        <w:rPr>
          <w:color w:val="1F2A37"/>
          <w:sz w:val="23"/>
          <w:szCs w:val="23"/>
        </w:rPr>
        <w:t xml:space="preserve">Simulate how supply shocks move procurement price, volume and market risk</w:t>
      </w:r>
    </w:p>
    <w:p>
      <w:pPr>
        <w:spacing w:after="240"/>
        <w:jc w:val="center"/>
      </w:pPr>
      <w:r>
        <w:rPr>
          <w:i/>
          <w:iCs/>
          <w:color w:val="5B6B60"/>
          <w:sz w:val="18"/>
          <w:szCs w:val="18"/>
        </w:rPr>
        <w:t xml:space="preserve">Nepal wholesale market data · 10 monthly files · 79 products · SHAP required on every model</w:t>
      </w:r>
    </w:p>
    <w:tbl>
      <w:tblPr>
        <w:tblW w:type="dxa" w:w="9026"/>
        <w:tblBorders>
          <w:top w:val="single" w:color="1F5C3F" w:sz="8"/>
          <w:left w:val="none"/>
          <w:bottom w:val="single" w:color="1F5C3F" w:sz="8"/>
          <w:right w:val="none"/>
          <w:insideH w:val="none"/>
          <w:insideV w:val="none"/>
        </w:tblBorders>
      </w:tblPr>
      <w:tblGrid>
        <w:gridCol w:w="9026"/>
      </w:tblGrid>
      <w:tr>
        <w:tc>
          <w:tcPr>
            <w:tcW w:type="dxa" w:w="9026"/>
            <w:shd w:fill="EAF1EC" w:color="auto" w:val="clear"/>
            <w:tcMar>
              <w:top w:type="dxa" w:w="120"/>
              <w:left w:type="dxa" w:w="180"/>
              <w:bottom w:type="dxa" w:w="120"/>
              <w:right w:type="dxa" w:w="180"/>
            </w:tcMar>
          </w:tcPr>
          <w:p>
            <w:pPr>
              <w:spacing w:after="40"/>
            </w:pPr>
            <w:r>
              <w:rPr>
                <w:b/>
                <w:bCs/>
                <w:sz w:val="21"/>
                <w:szCs w:val="21"/>
              </w:rPr>
              <w:t xml:space="preserve">Goal:  </w:t>
            </w:r>
            <w:r>
              <w:rPr>
                <w:sz w:val="21"/>
                <w:szCs w:val="21"/>
              </w:rPr>
              <w:t xml:space="preserve">Predict how supply changes (e.g. India −30%, Local +20%) affect price, volume and risk.</w:t>
            </w:r>
          </w:p>
          <w:p>
            <w:pPr>
              <w:spacing w:after="40"/>
            </w:pPr>
            <w:r>
              <w:rPr>
                <w:b/>
                <w:bCs/>
                <w:sz w:val="21"/>
                <w:szCs w:val="21"/>
              </w:rPr>
              <w:t xml:space="preserve">Task type:  </w:t>
            </w:r>
            <w:r>
              <w:rPr>
                <w:sz w:val="21"/>
                <w:szCs w:val="21"/>
              </w:rPr>
              <w:t xml:space="preserve">Counterfactual simulation on top of trained models</w:t>
            </w:r>
          </w:p>
          <w:p>
            <w:pPr>
              <w:spacing w:after="40"/>
            </w:pPr>
            <w:r>
              <w:rPr>
                <w:b/>
                <w:bCs/>
                <w:sz w:val="21"/>
                <w:szCs w:val="21"/>
              </w:rPr>
              <w:t xml:space="preserve">Target:  </w:t>
            </w:r>
            <w:r>
              <w:rPr>
                <w:sz w:val="21"/>
                <w:szCs w:val="21"/>
              </w:rPr>
              <w:t xml:space="preserve">Predicted Avg_Price, Volume, and risk level under a scenario</w:t>
            </w:r>
          </w:p>
          <w:p>
            <w:r>
              <w:rPr>
                <w:b/>
                <w:bCs/>
                <w:sz w:val="21"/>
                <w:szCs w:val="21"/>
              </w:rPr>
              <w:t xml:space="preserve">Primary model:  </w:t>
            </w:r>
            <w:r>
              <w:rPr>
                <w:sz w:val="21"/>
                <w:szCs w:val="21"/>
              </w:rPr>
              <w:t xml:space="preserve">LightGBM surrogate models + a scenario engine (links to Members 2, 3, 6)</w:t>
            </w:r>
          </w:p>
        </w:tc>
      </w:tr>
    </w:tbl>
    <w:p>
      <w:r>
        <w:br w:type="page"/>
      </w:r>
    </w:p>
    <w:p>
      <w:pPr>
        <w:pStyle w:val="Heading1"/>
        <w:keepNext/>
        <w:spacing w:after="120" w:before="280"/>
      </w:pPr>
      <w:r>
        <w:rPr>
          <w:b/>
          <w:bCs/>
          <w:color w:val="1F5C3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280"/>
      </w:pPr>
      <w:r>
        <w:rPr>
          <w:b/>
          <w:bCs/>
          <w:color w:val="1F5C3F"/>
          <w:sz w:val="30"/>
          <w:szCs w:val="30"/>
        </w:rPr>
        <w:t xml:space="preserve">1. Background &amp; how to use this guide</w:t>
      </w:r>
    </w:p>
    <w:p>
      <w:pPr>
        <w:spacing w:after="120" w:line="276"/>
      </w:pPr>
      <w:r>
        <w:rPr>
          <w:rFonts w:ascii="Calibri" w:cs="Calibri" w:eastAsia="Calibri" w:hAnsi="Calibri"/>
          <w:color w:val="1F2A37"/>
          <w:sz w:val="22"/>
          <w:szCs w:val="22"/>
        </w:rPr>
        <w:t xml:space="preserve">This is one of </w:t>
      </w:r>
      <w:r>
        <w:rPr>
          <w:rFonts w:ascii="Calibri" w:cs="Calibri" w:eastAsia="Calibri" w:hAnsi="Calibri"/>
          <w:b/>
          <w:bCs/>
          <w:color w:val="1F2A37"/>
          <w:sz w:val="22"/>
          <w:szCs w:val="22"/>
        </w:rPr>
        <w:t xml:space="preserve">six coordinated roles</w:t>
      </w:r>
      <w:r>
        <w:rPr>
          <w:rFonts w:ascii="Calibri" w:cs="Calibri" w:eastAsia="Calibri" w:hAnsi="Calibri"/>
          <w:color w:val="1F2A37"/>
          <w:sz w:val="22"/>
          <w:szCs w:val="22"/>
        </w:rPr>
        <w:t xml:space="preserve"> in an AI-powered agricultural procurement decision-support system, built on the same dataset: monthly wholesale figures for 79 products (58 vegetables, 21 fruits) from a Nepali market, one file per Bikram-Sambat (BS) month across 10 months. The six roles are: (1) What-If Scenario Engine, (2) Multi-Target Price Forecasting, (3) Supply Volume Forecasting, (4) Price-Trend Classification, (5) Import-Origin Prediction, (6) Supply-Chain Risk Prediction. This guide is self-contained — Sections 1–4 set up the shared data, splitting and explainability standard; Sections 5–7 are your role.</w:t>
      </w:r>
    </w:p>
    <w:p>
      <w:pPr>
        <w:spacing w:after="120" w:line="276"/>
      </w:pPr>
      <w:r>
        <w:rPr>
          <w:rFonts w:ascii="Calibri" w:cs="Calibri" w:eastAsia="Calibri" w:hAnsi="Calibri"/>
          <w:color w:val="1F2A37"/>
          <w:sz w:val="22"/>
          <w:szCs w:val="22"/>
        </w:rPr>
        <w:t xml:space="preserve">Scale &amp; honesty: ~79 products × 10 months ≈ 790 rows — enough for tabular models to learn cross-product patterns, but only 10 time points, so temporal/seasonal claims must stay cautious. State this in every write-up.</w:t>
      </w:r>
    </w:p>
    <w:p>
      <w:pPr>
        <w:pStyle w:val="Heading1"/>
        <w:keepNext/>
        <w:spacing w:after="120" w:before="280"/>
      </w:pPr>
      <w:r>
        <w:rPr>
          <w:b/>
          <w:bCs/>
          <w:color w:val="1F5C3F"/>
          <w:sz w:val="30"/>
          <w:szCs w:val="30"/>
        </w:rPr>
        <w:t xml:space="preserve">2. The dataset (verified structure)</w:t>
      </w:r>
    </w:p>
    <w:p>
      <w:pPr>
        <w:spacing w:after="120" w:line="276"/>
      </w:pPr>
      <w:r>
        <w:rPr>
          <w:rFonts w:ascii="Calibri" w:cs="Calibri" w:eastAsia="Calibri" w:hAnsi="Calibri"/>
          <w:color w:val="1F2A37"/>
          <w:sz w:val="22"/>
          <w:szCs w:val="22"/>
        </w:rPr>
        <w:t xml:space="preserve">The team works from one cleaned file (all_months_clean.csv, produced by the data-audit pipeline). Group its columns by role before modelling — this decides targets, valid features, and leakage.</w:t>
      </w:r>
    </w:p>
    <w:tbl>
      <w:tblPr>
        <w:tblW w:type="dxa" w:w="9026"/>
        <w:tblBorders>
          <w:top w:val="single" w:color="B8C4BC" w:sz="4"/>
          <w:left w:val="single" w:color="B8C4BC" w:sz="4"/>
          <w:bottom w:val="single" w:color="B8C4BC" w:sz="4"/>
          <w:right w:val="single" w:color="B8C4BC" w:sz="4"/>
          <w:insideH w:val="single" w:color="D5DED8" w:sz="2"/>
          <w:insideV w:val="single" w:color="D5DED8" w:sz="2"/>
        </w:tblBorders>
      </w:tblPr>
      <w:tblGrid>
        <w:gridCol w:w="2100"/>
        <w:gridCol w:w="3100"/>
        <w:gridCol w:w="3826"/>
      </w:tblGrid>
      <w:tr>
        <w:trPr>
          <w:tblHeader/>
        </w:trPr>
        <w:tc>
          <w:tcPr>
            <w:tcW w:type="dxa" w:w="2100"/>
            <w:shd w:fill="1F5C3F" w:color="auto" w:val="clear"/>
            <w:tcMar>
              <w:top w:type="dxa" w:w="70"/>
              <w:left w:type="dxa" w:w="90"/>
              <w:bottom w:type="dxa" w:w="70"/>
              <w:right w:type="dxa" w:w="90"/>
            </w:tcMar>
          </w:tcPr>
          <w:p>
            <w:r>
              <w:rPr>
                <w:b/>
                <w:bCs/>
                <w:color w:val="FFFFFF"/>
                <w:sz w:val="19"/>
                <w:szCs w:val="19"/>
              </w:rPr>
              <w:t xml:space="preserve">Group</w:t>
            </w:r>
          </w:p>
        </w:tc>
        <w:tc>
          <w:tcPr>
            <w:tcW w:type="dxa" w:w="3100"/>
            <w:shd w:fill="1F5C3F" w:color="auto" w:val="clear"/>
            <w:tcMar>
              <w:top w:type="dxa" w:w="70"/>
              <w:left w:type="dxa" w:w="90"/>
              <w:bottom w:type="dxa" w:w="70"/>
              <w:right w:type="dxa" w:w="90"/>
            </w:tcMar>
          </w:tcPr>
          <w:p>
            <w:r>
              <w:rPr>
                <w:b/>
                <w:bCs/>
                <w:color w:val="FFFFFF"/>
                <w:sz w:val="19"/>
                <w:szCs w:val="19"/>
              </w:rPr>
              <w:t xml:space="preserve">Columns</w:t>
            </w:r>
          </w:p>
        </w:tc>
        <w:tc>
          <w:tcPr>
            <w:tcW w:type="dxa" w:w="3826"/>
            <w:shd w:fill="1F5C3F" w:color="auto" w:val="clear"/>
            <w:tcMar>
              <w:top w:type="dxa" w:w="70"/>
              <w:left w:type="dxa" w:w="90"/>
              <w:bottom w:type="dxa" w:w="70"/>
              <w:right w:type="dxa" w:w="90"/>
            </w:tcMar>
          </w:tcPr>
          <w:p>
            <w:r>
              <w:rPr>
                <w:b/>
                <w:bCs/>
                <w:color w:val="FFFFFF"/>
                <w:sz w:val="19"/>
                <w:szCs w:val="19"/>
              </w:rPr>
              <w:t xml:space="preserve">Role</w:t>
            </w:r>
          </w:p>
        </w:tc>
      </w:tr>
      <w:tr>
        <w:tc>
          <w:tcPr>
            <w:tcW w:type="dxa" w:w="2100"/>
            <w:tcMar>
              <w:top w:type="dxa" w:w="60"/>
              <w:left w:type="dxa" w:w="90"/>
              <w:bottom w:type="dxa" w:w="60"/>
              <w:right w:type="dxa" w:w="90"/>
            </w:tcMar>
          </w:tcPr>
          <w:p>
            <w:r>
              <w:rPr>
                <w:b/>
                <w:bCs/>
                <w:color w:val="1F2A37"/>
                <w:sz w:val="18"/>
                <w:szCs w:val="18"/>
              </w:rPr>
              <w:t xml:space="preserve">Identifiers</w:t>
            </w:r>
          </w:p>
        </w:tc>
        <w:tc>
          <w:tcPr>
            <w:tcW w:type="dxa" w:w="3100"/>
            <w:tcMar>
              <w:top w:type="dxa" w:w="60"/>
              <w:left w:type="dxa" w:w="90"/>
              <w:bottom w:type="dxa" w:w="60"/>
              <w:right w:type="dxa" w:w="90"/>
            </w:tcMar>
          </w:tcPr>
          <w:p>
            <w:r>
              <w:rPr>
                <w:b w:val="false"/>
                <w:bCs w:val="false"/>
                <w:color w:val="1F2A37"/>
                <w:sz w:val="18"/>
                <w:szCs w:val="18"/>
              </w:rPr>
              <w:t xml:space="preserve">Product_Name, Category (one per product), Unit, unit_canonical</w:t>
            </w:r>
          </w:p>
        </w:tc>
        <w:tc>
          <w:tcPr>
            <w:tcW w:type="dxa" w:w="3826"/>
            <w:tcMar>
              <w:top w:type="dxa" w:w="60"/>
              <w:left w:type="dxa" w:w="90"/>
              <w:bottom w:type="dxa" w:w="60"/>
              <w:right w:type="dxa" w:w="90"/>
            </w:tcMar>
          </w:tcPr>
          <w:p>
            <w:r>
              <w:rPr>
                <w:b w:val="false"/>
                <w:bCs w:val="false"/>
                <w:color w:val="1F2A37"/>
                <w:sz w:val="18"/>
                <w:szCs w:val="18"/>
              </w:rPr>
              <w:t xml:space="preserve">Categorical features / keys.</w:t>
            </w:r>
          </w:p>
        </w:tc>
      </w:tr>
      <w:tr>
        <w:tc>
          <w:tcPr>
            <w:tcW w:type="dxa" w:w="2100"/>
            <w:shd w:fill="EAF1EC" w:color="auto" w:val="clear"/>
            <w:tcMar>
              <w:top w:type="dxa" w:w="60"/>
              <w:left w:type="dxa" w:w="90"/>
              <w:bottom w:type="dxa" w:w="60"/>
              <w:right w:type="dxa" w:w="90"/>
            </w:tcMar>
          </w:tcPr>
          <w:p>
            <w:r>
              <w:rPr>
                <w:b/>
                <w:bCs/>
                <w:color w:val="1F2A37"/>
                <w:sz w:val="18"/>
                <w:szCs w:val="18"/>
              </w:rPr>
              <w:t xml:space="preserve">Time</w:t>
            </w:r>
          </w:p>
        </w:tc>
        <w:tc>
          <w:tcPr>
            <w:tcW w:type="dxa" w:w="3100"/>
            <w:shd w:fill="EAF1EC" w:color="auto" w:val="clear"/>
            <w:tcMar>
              <w:top w:type="dxa" w:w="60"/>
              <w:left w:type="dxa" w:w="90"/>
              <w:bottom w:type="dxa" w:w="60"/>
              <w:right w:type="dxa" w:w="90"/>
            </w:tcMar>
          </w:tcPr>
          <w:p>
            <w:r>
              <w:rPr>
                <w:b w:val="false"/>
                <w:bCs w:val="false"/>
                <w:color w:val="1F2A37"/>
                <w:sz w:val="18"/>
                <w:szCs w:val="18"/>
              </w:rPr>
              <w:t xml:space="preserve">bs_year, bs_month, month_idx (1–10), month_name</w:t>
            </w:r>
          </w:p>
        </w:tc>
        <w:tc>
          <w:tcPr>
            <w:tcW w:type="dxa" w:w="3826"/>
            <w:shd w:fill="EAF1EC" w:color="auto" w:val="clear"/>
            <w:tcMar>
              <w:top w:type="dxa" w:w="60"/>
              <w:left w:type="dxa" w:w="90"/>
              <w:bottom w:type="dxa" w:w="60"/>
              <w:right w:type="dxa" w:w="90"/>
            </w:tcMar>
          </w:tcPr>
          <w:p>
            <w:r>
              <w:rPr>
                <w:b w:val="false"/>
                <w:bCs w:val="false"/>
                <w:color w:val="1F2A37"/>
                <w:sz w:val="18"/>
                <w:szCs w:val="18"/>
              </w:rPr>
              <w:t xml:space="preserve">month_idx is chronological &amp; year-aware. Use it for lags &amp; split.</w:t>
            </w:r>
          </w:p>
        </w:tc>
      </w:tr>
      <w:tr>
        <w:tc>
          <w:tcPr>
            <w:tcW w:type="dxa" w:w="2100"/>
            <w:tcMar>
              <w:top w:type="dxa" w:w="60"/>
              <w:left w:type="dxa" w:w="90"/>
              <w:bottom w:type="dxa" w:w="60"/>
              <w:right w:type="dxa" w:w="90"/>
            </w:tcMar>
          </w:tcPr>
          <w:p>
            <w:r>
              <w:rPr>
                <w:b/>
                <w:bCs/>
                <w:color w:val="1F2A37"/>
                <w:sz w:val="18"/>
                <w:szCs w:val="18"/>
              </w:rPr>
              <w:t xml:space="preserve">Price</w:t>
            </w:r>
          </w:p>
        </w:tc>
        <w:tc>
          <w:tcPr>
            <w:tcW w:type="dxa" w:w="3100"/>
            <w:tcMar>
              <w:top w:type="dxa" w:w="60"/>
              <w:left w:type="dxa" w:w="90"/>
              <w:bottom w:type="dxa" w:w="60"/>
              <w:right w:type="dxa" w:w="90"/>
            </w:tcMar>
          </w:tcPr>
          <w:p>
            <w:r>
              <w:rPr>
                <w:b w:val="false"/>
                <w:bCs w:val="false"/>
                <w:color w:val="1F2A37"/>
                <w:sz w:val="18"/>
                <w:szCs w:val="18"/>
              </w:rPr>
              <w:t xml:space="preserve">Avg_Price, Min_Price, Max_Price</w:t>
            </w:r>
          </w:p>
        </w:tc>
        <w:tc>
          <w:tcPr>
            <w:tcW w:type="dxa" w:w="3826"/>
            <w:tcMar>
              <w:top w:type="dxa" w:w="60"/>
              <w:left w:type="dxa" w:w="90"/>
              <w:bottom w:type="dxa" w:w="60"/>
              <w:right w:type="dxa" w:w="90"/>
            </w:tcMar>
          </w:tcPr>
          <w:p>
            <w:r>
              <w:rPr>
                <w:b w:val="false"/>
                <w:bCs w:val="false"/>
                <w:color w:val="1F2A37"/>
                <w:sz w:val="18"/>
                <w:szCs w:val="18"/>
              </w:rPr>
              <w:t xml:space="preserve">Targets for Members 2 &amp; 4; features (lagged) elsewhere. Min/Max NaN for 7 products (Katrik).</w:t>
            </w:r>
          </w:p>
        </w:tc>
      </w:tr>
      <w:tr>
        <w:tc>
          <w:tcPr>
            <w:tcW w:type="dxa" w:w="2100"/>
            <w:shd w:fill="EAF1EC" w:color="auto" w:val="clear"/>
            <w:tcMar>
              <w:top w:type="dxa" w:w="60"/>
              <w:left w:type="dxa" w:w="90"/>
              <w:bottom w:type="dxa" w:w="60"/>
              <w:right w:type="dxa" w:w="90"/>
            </w:tcMar>
          </w:tcPr>
          <w:p>
            <w:r>
              <w:rPr>
                <w:b/>
                <w:bCs/>
                <w:color w:val="1F2A37"/>
                <w:sz w:val="18"/>
                <w:szCs w:val="18"/>
              </w:rPr>
              <w:t xml:space="preserve">Volume</w:t>
            </w:r>
          </w:p>
        </w:tc>
        <w:tc>
          <w:tcPr>
            <w:tcW w:type="dxa" w:w="3100"/>
            <w:shd w:fill="EAF1EC" w:color="auto" w:val="clear"/>
            <w:tcMar>
              <w:top w:type="dxa" w:w="60"/>
              <w:left w:type="dxa" w:w="90"/>
              <w:bottom w:type="dxa" w:w="60"/>
              <w:right w:type="dxa" w:w="90"/>
            </w:tcMar>
          </w:tcPr>
          <w:p>
            <w:r>
              <w:rPr>
                <w:b w:val="false"/>
                <w:bCs w:val="false"/>
                <w:color w:val="1F2A37"/>
                <w:sz w:val="18"/>
                <w:szCs w:val="18"/>
              </w:rPr>
              <w:t xml:space="preserve">Volume</w:t>
            </w:r>
          </w:p>
        </w:tc>
        <w:tc>
          <w:tcPr>
            <w:tcW w:type="dxa" w:w="3826"/>
            <w:shd w:fill="EAF1EC" w:color="auto" w:val="clear"/>
            <w:tcMar>
              <w:top w:type="dxa" w:w="60"/>
              <w:left w:type="dxa" w:w="90"/>
              <w:bottom w:type="dxa" w:w="60"/>
              <w:right w:type="dxa" w:w="90"/>
            </w:tcMar>
          </w:tcPr>
          <w:p>
            <w:r>
              <w:rPr>
                <w:b w:val="false"/>
                <w:bCs w:val="false"/>
                <w:color w:val="1F2A37"/>
                <w:sz w:val="18"/>
                <w:szCs w:val="18"/>
              </w:rPr>
              <w:t xml:space="preserve">Target for Member 3; used by 1, 6.</w:t>
            </w:r>
          </w:p>
        </w:tc>
      </w:tr>
      <w:tr>
        <w:tc>
          <w:tcPr>
            <w:tcW w:type="dxa" w:w="2100"/>
            <w:tcMar>
              <w:top w:type="dxa" w:w="60"/>
              <w:left w:type="dxa" w:w="90"/>
              <w:bottom w:type="dxa" w:w="60"/>
              <w:right w:type="dxa" w:w="90"/>
            </w:tcMar>
          </w:tcPr>
          <w:p>
            <w:r>
              <w:rPr>
                <w:b/>
                <w:bCs/>
                <w:color w:val="1F2A37"/>
                <w:sz w:val="18"/>
                <w:szCs w:val="18"/>
              </w:rPr>
              <w:t xml:space="preserve">Value</w:t>
            </w:r>
          </w:p>
        </w:tc>
        <w:tc>
          <w:tcPr>
            <w:tcW w:type="dxa" w:w="3100"/>
            <w:tcMar>
              <w:top w:type="dxa" w:w="60"/>
              <w:left w:type="dxa" w:w="90"/>
              <w:bottom w:type="dxa" w:w="60"/>
              <w:right w:type="dxa" w:w="90"/>
            </w:tcMar>
          </w:tcPr>
          <w:p>
            <w:r>
              <w:rPr>
                <w:b w:val="false"/>
                <w:bCs w:val="false"/>
                <w:color w:val="1F2A37"/>
                <w:sz w:val="18"/>
                <w:szCs w:val="18"/>
              </w:rPr>
              <w:t xml:space="preserve">Total_Amount</w:t>
            </w:r>
          </w:p>
        </w:tc>
        <w:tc>
          <w:tcPr>
            <w:tcW w:type="dxa" w:w="3826"/>
            <w:tcMar>
              <w:top w:type="dxa" w:w="60"/>
              <w:left w:type="dxa" w:w="90"/>
              <w:bottom w:type="dxa" w:w="60"/>
              <w:right w:type="dxa" w:w="90"/>
            </w:tcMar>
          </w:tcPr>
          <w:p>
            <w:r>
              <w:rPr>
                <w:b w:val="false"/>
                <w:bCs w:val="false"/>
                <w:color w:val="1F2A37"/>
                <w:sz w:val="18"/>
                <w:szCs w:val="18"/>
              </w:rPr>
              <w:t xml:space="preserve">= Volume × Avg_Price EXACTLY (798/798 rows) → leakage. Never a feature.</w:t>
            </w:r>
          </w:p>
        </w:tc>
      </w:tr>
      <w:tr>
        <w:tc>
          <w:tcPr>
            <w:tcW w:type="dxa" w:w="2100"/>
            <w:shd w:fill="EAF1EC" w:color="auto" w:val="clear"/>
            <w:tcMar>
              <w:top w:type="dxa" w:w="60"/>
              <w:left w:type="dxa" w:w="90"/>
              <w:bottom w:type="dxa" w:w="60"/>
              <w:right w:type="dxa" w:w="90"/>
            </w:tcMar>
          </w:tcPr>
          <w:p>
            <w:r>
              <w:rPr>
                <w:b/>
                <w:bCs/>
                <w:color w:val="1F2A37"/>
                <w:sz w:val="18"/>
                <w:szCs w:val="18"/>
              </w:rPr>
              <w:t xml:space="preserve">Source / origin</w:t>
            </w:r>
          </w:p>
        </w:tc>
        <w:tc>
          <w:tcPr>
            <w:tcW w:type="dxa" w:w="3100"/>
            <w:shd w:fill="EAF1EC" w:color="auto" w:val="clear"/>
            <w:tcMar>
              <w:top w:type="dxa" w:w="60"/>
              <w:left w:type="dxa" w:w="90"/>
              <w:bottom w:type="dxa" w:w="60"/>
              <w:right w:type="dxa" w:w="90"/>
            </w:tcMar>
          </w:tcPr>
          <w:p>
            <w:r>
              <w:rPr>
                <w:b w:val="false"/>
                <w:bCs w:val="false"/>
                <w:color w:val="1F2A37"/>
                <w:sz w:val="18"/>
                <w:szCs w:val="18"/>
              </w:rPr>
              <w:t xml:space="preserve">36 canonical districts; TOTAL_sources; import_share</w:t>
            </w:r>
          </w:p>
        </w:tc>
        <w:tc>
          <w:tcPr>
            <w:tcW w:type="dxa" w:w="3826"/>
            <w:shd w:fill="EAF1EC" w:color="auto" w:val="clear"/>
            <w:tcMar>
              <w:top w:type="dxa" w:w="60"/>
              <w:left w:type="dxa" w:w="90"/>
              <w:bottom w:type="dxa" w:w="60"/>
              <w:right w:type="dxa" w:w="90"/>
            </w:tcMar>
          </w:tcPr>
          <w:p>
            <w:r>
              <w:rPr>
                <w:b w:val="false"/>
                <w:bCs w:val="false"/>
                <w:color w:val="1F2A37"/>
                <w:sz w:val="18"/>
                <w:szCs w:val="18"/>
              </w:rPr>
              <w:t xml:space="preserve">Where supply came from. Basis for Members 1 &amp; 5.</w:t>
            </w:r>
          </w:p>
        </w:tc>
      </w:tr>
      <w:tr>
        <w:tc>
          <w:tcPr>
            <w:tcW w:type="dxa" w:w="2100"/>
            <w:tcMar>
              <w:top w:type="dxa" w:w="60"/>
              <w:left w:type="dxa" w:w="90"/>
              <w:bottom w:type="dxa" w:w="60"/>
              <w:right w:type="dxa" w:w="90"/>
            </w:tcMar>
          </w:tcPr>
          <w:p>
            <w:r>
              <w:rPr>
                <w:b/>
                <w:bCs/>
                <w:color w:val="1F2A37"/>
                <w:sz w:val="18"/>
                <w:szCs w:val="18"/>
              </w:rPr>
              <w:t xml:space="preserve">Flags</w:t>
            </w:r>
          </w:p>
        </w:tc>
        <w:tc>
          <w:tcPr>
            <w:tcW w:type="dxa" w:w="3100"/>
            <w:tcMar>
              <w:top w:type="dxa" w:w="60"/>
              <w:left w:type="dxa" w:w="90"/>
              <w:bottom w:type="dxa" w:w="60"/>
              <w:right w:type="dxa" w:w="90"/>
            </w:tcMar>
          </w:tcPr>
          <w:p>
            <w:r>
              <w:rPr>
                <w:b w:val="false"/>
                <w:bCs w:val="false"/>
                <w:color w:val="1F2A37"/>
                <w:sz w:val="18"/>
                <w:szCs w:val="18"/>
              </w:rPr>
              <w:t xml:space="preserve">reconciliation_gap, unit_changed, n_months_present, is_balanced</w:t>
            </w:r>
          </w:p>
        </w:tc>
        <w:tc>
          <w:tcPr>
            <w:tcW w:type="dxa" w:w="3826"/>
            <w:tcMar>
              <w:top w:type="dxa" w:w="60"/>
              <w:left w:type="dxa" w:w="90"/>
              <w:bottom w:type="dxa" w:w="60"/>
              <w:right w:type="dxa" w:w="90"/>
            </w:tcMar>
          </w:tcPr>
          <w:p>
            <w:r>
              <w:rPr>
                <w:b w:val="false"/>
                <w:bCs w:val="false"/>
                <w:color w:val="1F2A37"/>
                <w:sz w:val="18"/>
                <w:szCs w:val="18"/>
              </w:rPr>
              <w:t xml:space="preserve">Data-quality helpers — see the note below.</w:t>
            </w:r>
          </w:p>
        </w:tc>
      </w:tr>
    </w:tbl>
    <w:p>
      <w:pPr>
        <w:spacing w:after="120" w:line="276"/>
      </w:pPr>
      <w:r>
        <w:rPr>
          <w:rFonts w:ascii="Calibri" w:cs="Calibri" w:eastAsia="Calibri" w:hAnsi="Calibri"/>
          <w:color w:val="1F2A37"/>
          <w:sz w:val="22"/>
          <w:szCs w:val="22"/>
        </w:rPr>
        <w:t xml:space="preserve">Why a cleaned file: the raw workbook had schema drift (28–34 columns/sheet), a month that crosses the BS year boundary (Baishakh 2083 must sort last), district spelling variants, and a fruit/fruits category split. The pipeline fixed all of these. Category resolves to one value per product; Product_Name carries most identity signal; average import share ≈ 0.4 with roughly half of products importing.</w:t>
      </w:r>
    </w:p>
    <w:tbl>
      <w:tblPr>
        <w:tblW w:type="dxa" w:w="9026"/>
        <w:tblBorders>
          <w:top w:val="single" w:color="1F5C3F" w:sz="6"/>
          <w:left w:val="single" w:color="1F5C3F" w:sz="24"/>
          <w:bottom w:val="single" w:color="1F5C3F" w:sz="6"/>
          <w:right w:val="single" w:color="1F5C3F" w:sz="6"/>
          <w:insideH w:val="none"/>
          <w:insideV w:val="none"/>
        </w:tblBorders>
      </w:tblPr>
      <w:tblGrid>
        <w:gridCol w:w="9026"/>
      </w:tblGrid>
      <w:tr>
        <w:tc>
          <w:tcPr>
            <w:tcW w:type="dxa" w:w="9026"/>
            <w:shd w:fill="EAF1EC" w:color="auto" w:val="clear"/>
            <w:tcMar>
              <w:top w:type="dxa" w:w="100"/>
              <w:left w:type="dxa" w:w="160"/>
              <w:bottom w:type="dxa" w:w="100"/>
              <w:right w:type="dxa" w:w="160"/>
            </w:tcMar>
          </w:tcPr>
          <w:p>
            <w:pPr>
              <w:spacing w:after="60"/>
            </w:pPr>
            <w:r>
              <w:rPr>
                <w:b/>
                <w:bCs/>
                <w:color w:val="1F5C3F"/>
                <w:sz w:val="22"/>
                <w:szCs w:val="22"/>
              </w:rPr>
              <w:t xml:space="preserve">Data-quality flags you must respect</w:t>
            </w:r>
          </w:p>
          <w:p>
            <w:pPr>
              <w:pStyle w:val="ListParagraph"/>
              <w:numPr>
                <w:ilvl w:val="0"/>
                <w:numId w:val="2"/>
              </w:numPr>
              <w:spacing w:after="60" w:line="264"/>
            </w:pPr>
            <w:r>
              <w:rPr>
                <w:rFonts w:ascii="Calibri" w:cs="Calibri" w:eastAsia="Calibri" w:hAnsi="Calibri"/>
                <w:b/>
                <w:bCs/>
                <w:color w:val="1F2A37"/>
                <w:sz w:val="22"/>
                <w:szCs w:val="22"/>
              </w:rPr>
              <w:t xml:space="preserve">Min/Max missing for 7 products (Katrik only). </w:t>
            </w:r>
            <w:r>
              <w:rPr>
                <w:rFonts w:ascii="Calibri" w:cs="Calibri" w:eastAsia="Calibri" w:hAnsi="Calibri"/>
                <w:color w:val="1F2A37"/>
                <w:sz w:val="22"/>
                <w:szCs w:val="22"/>
              </w:rPr>
              <w:t xml:space="preserve">Do NOT fill with 0. Member 2 imputes to Avg; Member 6 computes volatility only where Min ≤ Avg ≤ Max; others treat Min/Max as optional.</w:t>
            </w:r>
          </w:p>
          <w:p>
            <w:pPr>
              <w:pStyle w:val="ListParagraph"/>
              <w:numPr>
                <w:ilvl w:val="0"/>
                <w:numId w:val="2"/>
              </w:numPr>
              <w:spacing w:after="60" w:line="264"/>
            </w:pPr>
            <w:r>
              <w:rPr>
                <w:rFonts w:ascii="Calibri" w:cs="Calibri" w:eastAsia="Calibri" w:hAnsi="Calibri"/>
                <w:b/>
                <w:bCs/>
                <w:color w:val="1F2A37"/>
                <w:sz w:val="22"/>
                <w:szCs w:val="22"/>
              </w:rPr>
              <w:t xml:space="preserve">import_share is NaN on 85 rows </w:t>
            </w:r>
            <w:r>
              <w:rPr>
                <w:rFonts w:ascii="Calibri" w:cs="Calibri" w:eastAsia="Calibri" w:hAnsi="Calibri"/>
                <w:color w:val="1F2A37"/>
                <w:sz w:val="22"/>
                <w:szCs w:val="22"/>
              </w:rPr>
              <w:t xml:space="preserve">where no origin was recorded (TOTAL_sources = 0) — fillna(0).</w:t>
            </w:r>
          </w:p>
          <w:p>
            <w:pPr>
              <w:pStyle w:val="ListParagraph"/>
              <w:numPr>
                <w:ilvl w:val="0"/>
                <w:numId w:val="2"/>
              </w:numPr>
              <w:spacing w:after="60" w:line="264"/>
            </w:pPr>
            <w:r>
              <w:rPr>
                <w:rFonts w:ascii="Calibri" w:cs="Calibri" w:eastAsia="Calibri" w:hAnsi="Calibri"/>
                <w:b/>
                <w:bCs/>
                <w:color w:val="1F2A37"/>
                <w:sz w:val="22"/>
                <w:szCs w:val="22"/>
              </w:rPr>
              <w:t xml:space="preserve">reconciliation_gap ≠ 0 (23 rows): </w:t>
            </w:r>
            <w:r>
              <w:rPr>
                <w:rFonts w:ascii="Calibri" w:cs="Calibri" w:eastAsia="Calibri" w:hAnsi="Calibri"/>
                <w:color w:val="1F2A37"/>
                <w:sz w:val="22"/>
                <w:szCs w:val="22"/>
              </w:rPr>
              <w:t xml:space="preserve">origin data doesn't sum to Volume; per-source shares are unreliable there.</w:t>
            </w:r>
          </w:p>
          <w:p>
            <w:pPr>
              <w:pStyle w:val="ListParagraph"/>
              <w:numPr>
                <w:ilvl w:val="0"/>
                <w:numId w:val="2"/>
              </w:numPr>
              <w:spacing w:after="60" w:line="264"/>
            </w:pPr>
            <w:r>
              <w:rPr>
                <w:rFonts w:ascii="Calibri" w:cs="Calibri" w:eastAsia="Calibri" w:hAnsi="Calibri"/>
                <w:b/>
                <w:bCs/>
                <w:color w:val="1F2A37"/>
                <w:sz w:val="22"/>
                <w:szCs w:val="22"/>
              </w:rPr>
              <w:t xml:space="preserve">unit_changed products (coconut, sugarcane, …): </w:t>
            </w:r>
            <w:r>
              <w:rPr>
                <w:rFonts w:ascii="Calibri" w:cs="Calibri" w:eastAsia="Calibri" w:hAnsi="Calibri"/>
                <w:color w:val="1F2A37"/>
                <w:sz w:val="22"/>
                <w:szCs w:val="22"/>
              </w:rPr>
              <w:t xml:space="preserve">volume/price not comparable across the unit switch.</w:t>
            </w:r>
          </w:p>
        </w:tc>
      </w:tr>
    </w:tbl>
    <w:p>
      <w:pPr>
        <w:pStyle w:val="Heading1"/>
        <w:keepNext/>
        <w:spacing w:after="120" w:before="280"/>
      </w:pPr>
      <w:r>
        <w:rPr>
          <w:b/>
          <w:bCs/>
          <w:color w:val="1F5C3F"/>
          <w:sz w:val="30"/>
          <w:szCs w:val="30"/>
        </w:rPr>
        <w:t xml:space="preserve">3. Load the cleaned dataset</w:t>
      </w:r>
    </w:p>
    <w:p>
      <w:pPr>
        <w:spacing w:after="120" w:line="276"/>
      </w:pPr>
      <w:r>
        <w:rPr>
          <w:rFonts w:ascii="Calibri" w:cs="Calibri" w:eastAsia="Calibri" w:hAnsi="Calibri"/>
          <w:color w:val="1F2A37"/>
          <w:sz w:val="22"/>
          <w:szCs w:val="22"/>
        </w:rPr>
        <w:t xml:space="preserve">Python 3.10+ with </w:t>
      </w:r>
      <w:r>
        <w:rPr>
          <w:rFonts w:ascii="Consolas" w:cs="Consolas" w:eastAsia="Consolas" w:hAnsi="Consolas"/>
          <w:color w:val="1F2A37"/>
          <w:sz w:val="20"/>
          <w:szCs w:val="20"/>
        </w:rPr>
        <w:t xml:space="preserve">pandas, numpy, scikit-learn, lightgbm, shap, matplotlib</w:t>
      </w:r>
      <w:r>
        <w:rPr>
          <w:rFonts w:ascii="Calibri" w:cs="Calibri" w:eastAsia="Calibri" w:hAnsi="Calibri"/>
          <w:color w:val="1F2A37"/>
          <w:sz w:val="22"/>
          <w:szCs w:val="22"/>
        </w:rPr>
        <w:t xml:space="preserve">. Do NOT read the raw monthly sheets — they have inconsistent schemas. Load the single cleaned file </w:t>
      </w:r>
      <w:r>
        <w:rPr>
          <w:rFonts w:ascii="Consolas" w:cs="Consolas" w:eastAsia="Consolas" w:hAnsi="Consolas"/>
          <w:b/>
          <w:bCs/>
          <w:color w:val="1F2A37"/>
          <w:sz w:val="20"/>
          <w:szCs w:val="20"/>
        </w:rPr>
        <w:t xml:space="preserve">all_months_clean.csv</w:t>
      </w:r>
      <w:r>
        <w:rPr>
          <w:rFonts w:ascii="Calibri" w:cs="Calibri" w:eastAsia="Calibri" w:hAnsi="Calibri"/>
          <w:color w:val="1F2A37"/>
          <w:sz w:val="22"/>
          <w:szCs w:val="22"/>
        </w:rPr>
        <w:t xml:space="preserve"> (produced by clean_and_merge.py from the data audit). It has one fixed schema, canonical products/districts/categories, a correct chronological </w:t>
      </w:r>
      <w:r>
        <w:rPr>
          <w:rFonts w:ascii="Consolas" w:cs="Consolas" w:eastAsia="Consolas" w:hAnsi="Consolas"/>
          <w:color w:val="1F2A37"/>
          <w:sz w:val="20"/>
          <w:szCs w:val="20"/>
        </w:rPr>
        <w:t xml:space="preserve">month_idx</w:t>
      </w:r>
      <w:r>
        <w:rPr>
          <w:rFonts w:ascii="Calibri" w:cs="Calibri" w:eastAsia="Calibri" w:hAnsi="Calibri"/>
          <w:color w:val="1F2A37"/>
          <w:sz w:val="22"/>
          <w:szCs w:val="22"/>
        </w:rPr>
        <w:t xml:space="preserve"> (1–10, year-aware), and helper flags. If you must rebuild it, re-run the audit pipeline rather than concatenating sheets by hand.</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import pandas as pd, numpy as np</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 = pd.read_csv('all_months_clean.csv')</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 = d.sort_values(['Product_Name','month_idx']).reset_index(drop=True)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month_idx (1..10) is already in true chronological order (Shrawan 2082 .. Baishakh 2083).</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Helper columns available: is_balanced, n_months_present, unit_changed,</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reconciliation_gap, import_share, TOTAL_sources.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Optional: work on the balanced panel (48 products present in all 10 months)</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dbal = d[d['is_balanced']].copy()</w:t>
      </w:r>
    </w:p>
    <w:p>
      <w:pPr>
        <w:spacing w:after="120" w:line="276"/>
      </w:pPr>
      <w:r>
        <w:rPr>
          <w:rFonts w:ascii="Calibri" w:cs="Calibri" w:eastAsia="Calibri" w:hAnsi="Calibri"/>
          <w:color w:val="1F2A37"/>
          <w:sz w:val="22"/>
          <w:szCs w:val="22"/>
        </w:rPr>
        <w:t xml:space="preserve">The 36 canonical district/source columns run from Baglung to Tanahu (India, China, Bhutan are the imports). They are already unioned and zero-filled, so the feature matrix is identical every month.</w:t>
      </w:r>
    </w:p>
    <w:p>
      <w:pPr>
        <w:pStyle w:val="Heading3"/>
        <w:keepNext/>
        <w:spacing w:after="120" w:before="200"/>
      </w:pPr>
      <w:r>
        <w:rPr>
          <w:b/>
          <w:bCs/>
          <w:color w:val="1F2A37"/>
          <w:sz w:val="23"/>
          <w:szCs w:val="23"/>
        </w:rPr>
        <w:t xml:space="preserve">Shared feature bank</w:t>
      </w:r>
    </w:p>
    <w:p>
      <w:pPr>
        <w:pStyle w:val="ListParagraph"/>
        <w:numPr>
          <w:ilvl w:val="0"/>
          <w:numId w:val="2"/>
        </w:numPr>
        <w:spacing w:after="60" w:line="264"/>
      </w:pPr>
      <w:r>
        <w:rPr>
          <w:rFonts w:ascii="Calibri" w:cs="Calibri" w:eastAsia="Calibri" w:hAnsi="Calibri"/>
          <w:b/>
          <w:bCs/>
          <w:color w:val="1F2A37"/>
          <w:sz w:val="22"/>
          <w:szCs w:val="22"/>
        </w:rPr>
        <w:t xml:space="preserve">Calendar/season: </w:t>
      </w:r>
      <w:r>
        <w:rPr>
          <w:rFonts w:ascii="Calibri" w:cs="Calibri" w:eastAsia="Calibri" w:hAnsi="Calibri"/>
          <w:color w:val="1F2A37"/>
          <w:sz w:val="22"/>
          <w:szCs w:val="22"/>
        </w:rPr>
        <w:t xml:space="preserve">month_idx, cyclical sin/cos, festival flags (Dashain in Ashwin–Kartik, Tihar/Chhath in Kartik, monsoon in Ashadh–Bhadra, winter harvest in Mangsir–Magh).</w:t>
      </w:r>
    </w:p>
    <w:p>
      <w:pPr>
        <w:pStyle w:val="ListParagraph"/>
        <w:numPr>
          <w:ilvl w:val="0"/>
          <w:numId w:val="2"/>
        </w:numPr>
        <w:spacing w:after="60" w:line="264"/>
      </w:pPr>
      <w:r>
        <w:rPr>
          <w:rFonts w:ascii="Calibri" w:cs="Calibri" w:eastAsia="Calibri" w:hAnsi="Calibri"/>
          <w:b/>
          <w:bCs/>
          <w:color w:val="1F2A37"/>
          <w:sz w:val="22"/>
          <w:szCs w:val="22"/>
        </w:rPr>
        <w:t xml:space="preserve">Categorical: </w:t>
      </w:r>
      <w:r>
        <w:rPr>
          <w:rFonts w:ascii="Calibri" w:cs="Calibri" w:eastAsia="Calibri" w:hAnsi="Calibri"/>
          <w:color w:val="1F2A37"/>
          <w:sz w:val="22"/>
          <w:szCs w:val="22"/>
        </w:rPr>
        <w:t xml:space="preserve">Product_Name, Category, Unit (LightGBM handles these natively).</w:t>
      </w:r>
    </w:p>
    <w:p>
      <w:pPr>
        <w:pStyle w:val="ListParagraph"/>
        <w:numPr>
          <w:ilvl w:val="0"/>
          <w:numId w:val="2"/>
        </w:numPr>
        <w:spacing w:after="60" w:line="264"/>
      </w:pPr>
      <w:r>
        <w:rPr>
          <w:rFonts w:ascii="Calibri" w:cs="Calibri" w:eastAsia="Calibri" w:hAnsi="Calibri"/>
          <w:b/>
          <w:bCs/>
          <w:color w:val="1F2A37"/>
          <w:sz w:val="22"/>
          <w:szCs w:val="22"/>
        </w:rPr>
        <w:t xml:space="preserve">Supply shares: </w:t>
      </w:r>
      <w:r>
        <w:rPr>
          <w:rFonts w:ascii="Calibri" w:cs="Calibri" w:eastAsia="Calibri" w:hAnsi="Calibri"/>
          <w:color w:val="1F2A37"/>
          <w:sz w:val="22"/>
          <w:szCs w:val="22"/>
        </w:rPr>
        <w:t xml:space="preserve">import_share and TOTAL_sources are precomputed in the file; derive per-district shares (district ÷ TOTAL_sources), n_sources, and a Herfindahl concentration as needed.</w:t>
      </w:r>
    </w:p>
    <w:p>
      <w:pPr>
        <w:pStyle w:val="ListParagraph"/>
        <w:numPr>
          <w:ilvl w:val="0"/>
          <w:numId w:val="2"/>
        </w:numPr>
        <w:spacing w:after="60" w:line="264"/>
      </w:pPr>
      <w:r>
        <w:rPr>
          <w:rFonts w:ascii="Calibri" w:cs="Calibri" w:eastAsia="Calibri" w:hAnsi="Calibri"/>
          <w:b/>
          <w:bCs/>
          <w:color w:val="1F2A37"/>
          <w:sz w:val="22"/>
          <w:szCs w:val="22"/>
        </w:rPr>
        <w:t xml:space="preserve">Lags &amp; change (per product): </w:t>
      </w:r>
      <w:r>
        <w:rPr>
          <w:rFonts w:ascii="Calibri" w:cs="Calibri" w:eastAsia="Calibri" w:hAnsi="Calibri"/>
          <w:color w:val="1F2A37"/>
          <w:sz w:val="22"/>
          <w:szCs w:val="22"/>
        </w:rPr>
        <w:t xml:space="preserve">price_lag1, volume_lag1, rolling means, and month-over-month % change (needed by Members 4 &amp; 6).</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 The cleaned file already provides import_share, TOTAL_sources and 36 district cols.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src = [c for c in d.columns if c not in [</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'Product_Name','Category','bs_year','bs_month','month_idx','month_name','Volume',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'Min_Price','Max_Price','Avg_Price','Unit','unit_canonical','unit_changed','Total_Amount',</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'TOTAL_sources','reconciliation_gap','import_share','n_months_present','is_balanced']]</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d['import_share'] = d['import_share'].fillna(0)          # 85 rows had no recorded source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for c in src: d[c+'_share'] = d[c] / d['TOTAL_sources'].replace(0, np.nan)</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d['n_sources'] = (d[src] &gt; 0).sum(axis=1)</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d['m_sin'] = np.sin(2*np.pi*d['bs_month']/12); d['m_cos'] = np.cos(2*np.pi*d['bs_month']/12)</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g = d.groupby('Product_Name')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for t in ['Avg_Price','Volume']: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d[t+'_lag1'] = g[t].shift(1)                         # month_idx already chronological</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d['price_next'] = g['Avg_Price'].shift(-1)              # NEXT month (forecasting target)</w:t>
      </w:r>
    </w:p>
    <w:p>
      <w:pPr>
        <w:pStyle w:val="Heading1"/>
        <w:keepNext/>
        <w:spacing w:after="120" w:before="280"/>
      </w:pPr>
      <w:r>
        <w:rPr>
          <w:b/>
          <w:bCs/>
          <w:color w:val="1F5C3F"/>
          <w:sz w:val="30"/>
          <w:szCs w:val="30"/>
        </w:rPr>
        <w:t xml:space="preserve">4. Framing, leakage, split &amp; metrics (verified)</w:t>
      </w:r>
    </w:p>
    <w:p>
      <w:pPr>
        <w:pStyle w:val="Heading3"/>
        <w:keepNext/>
        <w:spacing w:after="120" w:before="200"/>
      </w:pPr>
      <w:r>
        <w:rPr>
          <w:b/>
          <w:bCs/>
          <w:color w:val="1F2A37"/>
          <w:sz w:val="23"/>
          <w:szCs w:val="23"/>
        </w:rPr>
        <w:t xml:space="preserve">Forecasting vs nowcast — decide your framing</w:t>
      </w:r>
    </w:p>
    <w:p>
      <w:pPr>
        <w:spacing w:after="120" w:line="276"/>
      </w:pPr>
      <w:r>
        <w:rPr>
          <w:rFonts w:ascii="Calibri" w:cs="Calibri" w:eastAsia="Calibri" w:hAnsi="Calibri"/>
          <w:color w:val="1F2A37"/>
          <w:sz w:val="22"/>
          <w:szCs w:val="22"/>
        </w:rPr>
        <w:t xml:space="preserve">Most roles forecast </w:t>
      </w:r>
      <w:r>
        <w:rPr>
          <w:rFonts w:ascii="Calibri" w:cs="Calibri" w:eastAsia="Calibri" w:hAnsi="Calibri"/>
          <w:b/>
          <w:bCs/>
          <w:color w:val="1F2A37"/>
          <w:sz w:val="22"/>
          <w:szCs w:val="22"/>
        </w:rPr>
        <w:t xml:space="preserve">next month</w:t>
      </w:r>
      <w:r>
        <w:rPr>
          <w:rFonts w:ascii="Calibri" w:cs="Calibri" w:eastAsia="Calibri" w:hAnsi="Calibri"/>
          <w:color w:val="1F2A37"/>
          <w:sz w:val="22"/>
          <w:szCs w:val="22"/>
        </w:rPr>
        <w:t xml:space="preserve">: features come from month t (and earlier), the target is month t+1 (use groupby-shift, as with price_next above). Member 1 is the exception — it is a </w:t>
      </w:r>
      <w:r>
        <w:rPr>
          <w:rFonts w:ascii="Calibri" w:cs="Calibri" w:eastAsia="Calibri" w:hAnsi="Calibri"/>
          <w:b/>
          <w:bCs/>
          <w:color w:val="1F2A37"/>
          <w:sz w:val="22"/>
          <w:szCs w:val="22"/>
        </w:rPr>
        <w:t xml:space="preserve">counterfactual nowcast</w:t>
      </w:r>
      <w:r>
        <w:rPr>
          <w:rFonts w:ascii="Calibri" w:cs="Calibri" w:eastAsia="Calibri" w:hAnsi="Calibri"/>
          <w:color w:val="1F2A37"/>
          <w:sz w:val="22"/>
          <w:szCs w:val="22"/>
        </w:rPr>
        <w:t xml:space="preserve">: you perturb this month's supply and read this month's predicted price/volume/risk.</w:t>
      </w:r>
    </w:p>
    <w:tbl>
      <w:tblPr>
        <w:tblW w:type="dxa" w:w="9026"/>
        <w:tblBorders>
          <w:top w:val="single" w:color="C0392B" w:sz="6"/>
          <w:left w:val="single" w:color="C0392B" w:sz="24"/>
          <w:bottom w:val="single" w:color="C0392B" w:sz="6"/>
          <w:right w:val="single" w:color="C0392B" w:sz="6"/>
          <w:insideH w:val="none"/>
          <w:insideV w:val="none"/>
        </w:tblBorders>
      </w:tblPr>
      <w:tblGrid>
        <w:gridCol w:w="9026"/>
      </w:tblGrid>
      <w:tr>
        <w:tc>
          <w:tcPr>
            <w:tcW w:type="dxa" w:w="9026"/>
            <w:shd w:fill="FCEBEA" w:color="auto" w:val="clear"/>
            <w:tcMar>
              <w:top w:type="dxa" w:w="100"/>
              <w:left w:type="dxa" w:w="160"/>
              <w:bottom w:type="dxa" w:w="100"/>
              <w:right w:type="dxa" w:w="160"/>
            </w:tcMar>
          </w:tcPr>
          <w:p>
            <w:pPr>
              <w:spacing w:after="60"/>
            </w:pPr>
            <w:r>
              <w:rPr>
                <w:b/>
                <w:bCs/>
                <w:color w:val="C0392B"/>
                <w:sz w:val="22"/>
                <w:szCs w:val="22"/>
              </w:rPr>
              <w:t xml:space="preserve">Leakage = using information from the period you are predicting (verified on the real file)</w:t>
            </w:r>
          </w:p>
          <w:p>
            <w:pPr>
              <w:pStyle w:val="ListParagraph"/>
              <w:numPr>
                <w:ilvl w:val="0"/>
                <w:numId w:val="2"/>
              </w:numPr>
              <w:spacing w:after="60" w:line="264"/>
            </w:pPr>
            <w:r>
              <w:rPr>
                <w:rFonts w:ascii="Calibri" w:cs="Calibri" w:eastAsia="Calibri" w:hAnsi="Calibri"/>
                <w:b/>
                <w:bCs/>
                <w:color w:val="C0392B"/>
                <w:sz w:val="22"/>
                <w:szCs w:val="22"/>
              </w:rPr>
              <w:t xml:space="preserve">Total_Amount</w:t>
            </w:r>
            <w:r>
              <w:rPr>
                <w:rFonts w:ascii="Calibri" w:cs="Calibri" w:eastAsia="Calibri" w:hAnsi="Calibri"/>
                <w:color w:val="1F2A37"/>
                <w:sz w:val="22"/>
                <w:szCs w:val="22"/>
              </w:rPr>
              <w:t xml:space="preserve"> — = Volume × Avg_Price exactly (verified 798/798 rows). Exclude it everywhere.</w:t>
            </w:r>
          </w:p>
          <w:p>
            <w:pPr>
              <w:pStyle w:val="ListParagraph"/>
              <w:numPr>
                <w:ilvl w:val="0"/>
                <w:numId w:val="2"/>
              </w:numPr>
              <w:spacing w:after="60" w:line="264"/>
            </w:pPr>
            <w:r>
              <w:rPr>
                <w:rFonts w:ascii="Calibri" w:cs="Calibri" w:eastAsia="Calibri" w:hAnsi="Calibri"/>
                <w:b/>
                <w:bCs/>
                <w:color w:val="C0392B"/>
                <w:sz w:val="22"/>
                <w:szCs w:val="22"/>
              </w:rPr>
              <w:t xml:space="preserve">Same-period source columns to predict same-period VOLUME</w:t>
            </w:r>
            <w:r>
              <w:rPr>
                <w:rFonts w:ascii="Calibri" w:cs="Calibri" w:eastAsia="Calibri" w:hAnsi="Calibri"/>
                <w:color w:val="1F2A37"/>
                <w:sz w:val="22"/>
                <w:szCs w:val="22"/>
              </w:rPr>
              <w:t xml:space="preserve"> — they sum to TOTAL_sources ≈ Volume. Fine as predictors of a FUTURE month; never of their own month.</w:t>
            </w:r>
          </w:p>
          <w:p>
            <w:pPr>
              <w:pStyle w:val="ListParagraph"/>
              <w:numPr>
                <w:ilvl w:val="0"/>
                <w:numId w:val="2"/>
              </w:numPr>
              <w:spacing w:after="60" w:line="264"/>
            </w:pPr>
            <w:r>
              <w:rPr>
                <w:rFonts w:ascii="Calibri" w:cs="Calibri" w:eastAsia="Calibri" w:hAnsi="Calibri"/>
                <w:b/>
                <w:bCs/>
                <w:color w:val="C0392B"/>
                <w:sz w:val="22"/>
                <w:szCs w:val="22"/>
              </w:rPr>
              <w:t xml:space="preserve">Same-period Min/Max to predict same-period Avg</w:t>
            </w:r>
            <w:r>
              <w:rPr>
                <w:rFonts w:ascii="Calibri" w:cs="Calibri" w:eastAsia="Calibri" w:hAnsi="Calibri"/>
                <w:color w:val="1F2A37"/>
                <w:sz w:val="22"/>
                <w:szCs w:val="22"/>
              </w:rPr>
              <w:t xml:space="preserve"> — for Member 2 the three prices are joint targets of a future month, so predict them from lagged features, not from each other in the same month.</w:t>
            </w:r>
          </w:p>
          <w:p>
            <w:pPr>
              <w:pStyle w:val="ListParagraph"/>
              <w:numPr>
                <w:ilvl w:val="0"/>
                <w:numId w:val="2"/>
              </w:numPr>
              <w:spacing w:after="60" w:line="264"/>
            </w:pPr>
            <w:r>
              <w:rPr>
                <w:rFonts w:ascii="Calibri" w:cs="Calibri" w:eastAsia="Calibri" w:hAnsi="Calibri"/>
                <w:b/>
                <w:bCs/>
                <w:color w:val="C0392B"/>
                <w:sz w:val="22"/>
                <w:szCs w:val="22"/>
              </w:rPr>
              <w:t xml:space="preserve">Any t+1 column leaking into a t feature row</w:t>
            </w:r>
            <w:r>
              <w:rPr>
                <w:rFonts w:ascii="Calibri" w:cs="Calibri" w:eastAsia="Calibri" w:hAnsi="Calibri"/>
                <w:color w:val="1F2A37"/>
                <w:sz w:val="22"/>
                <w:szCs w:val="22"/>
              </w:rPr>
              <w:t xml:space="preserve"> — align features and targets carefully after shifting.</w:t>
            </w:r>
          </w:p>
        </w:tc>
      </w:tr>
    </w:tbl>
    <w:tbl>
      <w:tblPr>
        <w:tblW w:type="dxa" w:w="9026"/>
        <w:tblBorders>
          <w:top w:val="single" w:color="1F5C3F" w:sz="6"/>
          <w:left w:val="single" w:color="1F5C3F" w:sz="24"/>
          <w:bottom w:val="single" w:color="1F5C3F" w:sz="6"/>
          <w:right w:val="single" w:color="1F5C3F" w:sz="6"/>
          <w:insideH w:val="none"/>
          <w:insideV w:val="none"/>
        </w:tblBorders>
      </w:tblPr>
      <w:tblGrid>
        <w:gridCol w:w="9026"/>
      </w:tblGrid>
      <w:tr>
        <w:tc>
          <w:tcPr>
            <w:tcW w:type="dxa" w:w="9026"/>
            <w:shd w:fill="EAF1EC" w:color="auto" w:val="clear"/>
            <w:tcMar>
              <w:top w:type="dxa" w:w="100"/>
              <w:left w:type="dxa" w:w="160"/>
              <w:bottom w:type="dxa" w:w="100"/>
              <w:right w:type="dxa" w:w="160"/>
            </w:tcMar>
          </w:tcPr>
          <w:p>
            <w:pPr>
              <w:spacing w:after="60"/>
            </w:pPr>
            <w:r>
              <w:rPr>
                <w:b/>
                <w:bCs/>
                <w:color w:val="1F5C3F"/>
                <w:sz w:val="22"/>
                <w:szCs w:val="22"/>
              </w:rPr>
              <w:t xml:space="preserve">You are the integration layer — same-period supply is your input by design</w:t>
            </w:r>
          </w:p>
          <w:p>
            <w:pPr>
              <w:spacing w:after="0" w:line="276"/>
            </w:pPr>
            <w:r>
              <w:rPr>
                <w:rFonts w:ascii="Calibri" w:cs="Calibri" w:eastAsia="Calibri" w:hAnsi="Calibri"/>
                <w:color w:val="1F2A37"/>
                <w:sz w:val="22"/>
                <w:szCs w:val="22"/>
              </w:rPr>
              <w:t xml:space="preserve">Your engine perturbs </w:t>
            </w:r>
            <w:r>
              <w:rPr>
                <w:rFonts w:ascii="Calibri" w:cs="Calibri" w:eastAsia="Calibri" w:hAnsi="Calibri"/>
                <w:b/>
                <w:bCs/>
                <w:color w:val="1F2A37"/>
                <w:sz w:val="22"/>
                <w:szCs w:val="22"/>
              </w:rPr>
              <w:t xml:space="preserve">this month's</w:t>
            </w:r>
            <w:r>
              <w:rPr>
                <w:rFonts w:ascii="Calibri" w:cs="Calibri" w:eastAsia="Calibri" w:hAnsi="Calibri"/>
                <w:color w:val="1F2A37"/>
                <w:sz w:val="22"/>
                <w:szCs w:val="22"/>
              </w:rPr>
              <w:t xml:space="preserve"> source volumes and re-reads the models' outputs, so using same-period supply as an input is correct here. Because the district columns sum to TOTAL≈volume, a supply shock changes volume </w:t>
            </w:r>
            <w:r>
              <w:rPr>
                <w:rFonts w:ascii="Calibri" w:cs="Calibri" w:eastAsia="Calibri" w:hAnsi="Calibri"/>
                <w:b/>
                <w:bCs/>
                <w:color w:val="1F2A37"/>
                <w:sz w:val="22"/>
                <w:szCs w:val="22"/>
              </w:rPr>
              <w:t xml:space="preserve">mechanically</w:t>
            </w:r>
            <w:r>
              <w:rPr>
                <w:rFonts w:ascii="Calibri" w:cs="Calibri" w:eastAsia="Calibri" w:hAnsi="Calibri"/>
                <w:color w:val="1F2A37"/>
                <w:sz w:val="22"/>
                <w:szCs w:val="22"/>
              </w:rPr>
              <w:t xml:space="preserve">; the ML question is how </w:t>
            </w:r>
            <w:r>
              <w:rPr>
                <w:rFonts w:ascii="Calibri" w:cs="Calibri" w:eastAsia="Calibri" w:hAnsi="Calibri"/>
                <w:i/>
                <w:iCs/>
                <w:color w:val="1F2A37"/>
                <w:sz w:val="22"/>
                <w:szCs w:val="22"/>
              </w:rPr>
              <w:t xml:space="preserve">price and risk</w:t>
            </w:r>
            <w:r>
              <w:rPr>
                <w:rFonts w:ascii="Calibri" w:cs="Calibri" w:eastAsia="Calibri" w:hAnsi="Calibri"/>
                <w:color w:val="1F2A37"/>
                <w:sz w:val="22"/>
                <w:szCs w:val="22"/>
              </w:rPr>
              <w:t xml:space="preserve"> respond.</w:t>
            </w:r>
          </w:p>
        </w:tc>
      </w:tr>
    </w:tbl>
    <w:p>
      <w:pPr>
        <w:pStyle w:val="Heading3"/>
        <w:keepNext/>
        <w:spacing w:after="120" w:before="200"/>
      </w:pPr>
      <w:r>
        <w:rPr>
          <w:b/>
          <w:bCs/>
          <w:color w:val="1F2A37"/>
          <w:sz w:val="23"/>
          <w:szCs w:val="23"/>
        </w:rPr>
        <w:t xml:space="preserve">Split by time, never at random</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train = d[d.month_idx &lt;= 8]; valid = d[d.month_idx == 9]; test = d[d.month_idx == 10]</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from sklearn.model_selection import TimeSeriesSplit; tscv = TimeSeriesSplit(n_splits=4)</w:t>
      </w:r>
    </w:p>
    <w:p>
      <w:pPr>
        <w:pStyle w:val="Heading3"/>
        <w:keepNext/>
        <w:spacing w:after="120" w:before="200"/>
      </w:pPr>
      <w:r>
        <w:rPr>
          <w:b/>
          <w:bCs/>
          <w:color w:val="1F2A37"/>
          <w:sz w:val="23"/>
          <w:szCs w:val="23"/>
        </w:rPr>
        <w:t xml:space="preserve">Metrics &amp; baselines</w:t>
      </w:r>
    </w:p>
    <w:p>
      <w:pPr>
        <w:pStyle w:val="ListParagraph"/>
        <w:numPr>
          <w:ilvl w:val="0"/>
          <w:numId w:val="2"/>
        </w:numPr>
        <w:spacing w:after="60" w:line="264"/>
      </w:pPr>
      <w:r>
        <w:rPr>
          <w:rFonts w:ascii="Calibri" w:cs="Calibri" w:eastAsia="Calibri" w:hAnsi="Calibri"/>
          <w:b/>
          <w:bCs/>
          <w:color w:val="1F2A37"/>
          <w:sz w:val="22"/>
          <w:szCs w:val="22"/>
        </w:rPr>
        <w:t xml:space="preserve">Regression (Members 1–3): </w:t>
      </w:r>
      <w:r>
        <w:rPr>
          <w:rFonts w:ascii="Calibri" w:cs="Calibri" w:eastAsia="Calibri" w:hAnsi="Calibri"/>
          <w:color w:val="1F2A37"/>
          <w:sz w:val="22"/>
          <w:szCs w:val="22"/>
        </w:rPr>
        <w:t xml:space="preserve">MAE, RMSE, MAPE, R² on the held-out month; beat 'next month = this month' and 'product mean'.</w:t>
      </w:r>
    </w:p>
    <w:p>
      <w:pPr>
        <w:pStyle w:val="ListParagraph"/>
        <w:numPr>
          <w:ilvl w:val="0"/>
          <w:numId w:val="2"/>
        </w:numPr>
        <w:spacing w:after="60" w:line="264"/>
      </w:pPr>
      <w:r>
        <w:rPr>
          <w:rFonts w:ascii="Calibri" w:cs="Calibri" w:eastAsia="Calibri" w:hAnsi="Calibri"/>
          <w:b/>
          <w:bCs/>
          <w:color w:val="1F2A37"/>
          <w:sz w:val="22"/>
          <w:szCs w:val="22"/>
        </w:rPr>
        <w:t xml:space="preserve">Classification (Members 4–6): </w:t>
      </w:r>
      <w:r>
        <w:rPr>
          <w:rFonts w:ascii="Calibri" w:cs="Calibri" w:eastAsia="Calibri" w:hAnsi="Calibri"/>
          <w:color w:val="1F2A37"/>
          <w:sz w:val="22"/>
          <w:szCs w:val="22"/>
        </w:rPr>
        <w:t xml:space="preserve">accuracy, macro-F1, per-class precision/recall, confusion matrix; beat 'always predict the majority class' and 'persistence' (next = current).</w:t>
      </w:r>
    </w:p>
    <w:p>
      <w:r>
        <w:br w:type="page"/>
      </w:r>
    </w:p>
    <w:p>
      <w:pPr>
        <w:pStyle w:val="Heading1"/>
        <w:keepNext/>
        <w:spacing w:after="120" w:before="280"/>
      </w:pPr>
      <w:r>
        <w:rPr>
          <w:b/>
          <w:bCs/>
          <w:color w:val="1F5C3F"/>
          <w:sz w:val="30"/>
          <w:szCs w:val="30"/>
        </w:rPr>
        <w:t xml:space="preserve">5. Scenario Engine — step by step</w:t>
      </w:r>
    </w:p>
    <w:p>
      <w:pPr>
        <w:pStyle w:val="Heading2"/>
        <w:keepNext/>
        <w:spacing w:after="120" w:before="200"/>
      </w:pPr>
      <w:r>
        <w:rPr>
          <w:b/>
          <w:bCs/>
          <w:color w:val="1F2A37"/>
          <w:sz w:val="25"/>
          <w:szCs w:val="25"/>
        </w:rPr>
        <w:t xml:space="preserve">5.1 What you build</w:t>
      </w:r>
    </w:p>
    <w:p>
      <w:pPr>
        <w:spacing w:after="120" w:line="276"/>
      </w:pPr>
      <w:r>
        <w:rPr>
          <w:rFonts w:ascii="Calibri" w:cs="Calibri" w:eastAsia="Calibri" w:hAnsi="Calibri"/>
          <w:color w:val="1F2A37"/>
          <w:sz w:val="22"/>
          <w:szCs w:val="22"/>
        </w:rPr>
        <w:t xml:space="preserve">An engine that takes a scenario (percentage changes to one or more supply sources), applies it to the current month's rows, recomputes every derived feature, and reports the change in predicted price, predicted volume, and predicted risk level versus the unshocked baseline.</w:t>
      </w:r>
    </w:p>
    <w:p>
      <w:pPr>
        <w:pStyle w:val="Heading2"/>
        <w:keepNext/>
        <w:spacing w:after="120" w:before="200"/>
      </w:pPr>
      <w:r>
        <w:rPr>
          <w:b/>
          <w:bCs/>
          <w:color w:val="1F2A37"/>
          <w:sz w:val="25"/>
          <w:szCs w:val="25"/>
        </w:rPr>
        <w:t xml:space="preserve">5.2 Get the models</w:t>
      </w:r>
    </w:p>
    <w:p>
      <w:pPr>
        <w:pStyle w:val="ListParagraph"/>
        <w:numPr>
          <w:ilvl w:val="0"/>
          <w:numId w:val="2"/>
        </w:numPr>
        <w:spacing w:after="60" w:line="264"/>
      </w:pPr>
      <w:r>
        <w:rPr>
          <w:rFonts w:ascii="Calibri" w:cs="Calibri" w:eastAsia="Calibri" w:hAnsi="Calibri"/>
          <w:b/>
          <w:bCs/>
          <w:color w:val="1F2A37"/>
          <w:sz w:val="22"/>
          <w:szCs w:val="22"/>
        </w:rPr>
        <w:t xml:space="preserve">Option A (recommended, self-contained): </w:t>
      </w:r>
      <w:r>
        <w:rPr>
          <w:rFonts w:ascii="Calibri" w:cs="Calibri" w:eastAsia="Calibri" w:hAnsi="Calibri"/>
          <w:color w:val="1F2A37"/>
          <w:sz w:val="22"/>
          <w:szCs w:val="22"/>
        </w:rPr>
        <w:t xml:space="preserve">train your own supply-driven surrogates — a price model on raw source volumes + product/season, and reuse Member 6's risk definition. Volume under a shock is computed mechanically from the changed sources (they sum to TOTAL).</w:t>
      </w:r>
    </w:p>
    <w:p>
      <w:pPr>
        <w:pStyle w:val="ListParagraph"/>
        <w:numPr>
          <w:ilvl w:val="0"/>
          <w:numId w:val="2"/>
        </w:numPr>
        <w:spacing w:after="60" w:line="264"/>
      </w:pPr>
      <w:r>
        <w:rPr>
          <w:rFonts w:ascii="Calibri" w:cs="Calibri" w:eastAsia="Calibri" w:hAnsi="Calibri"/>
          <w:b/>
          <w:bCs/>
          <w:color w:val="1F2A37"/>
          <w:sz w:val="22"/>
          <w:szCs w:val="22"/>
        </w:rPr>
        <w:t xml:space="preserve">Option B (integrated): </w:t>
      </w:r>
      <w:r>
        <w:rPr>
          <w:rFonts w:ascii="Calibri" w:cs="Calibri" w:eastAsia="Calibri" w:hAnsi="Calibri"/>
          <w:color w:val="1F2A37"/>
          <w:sz w:val="22"/>
          <w:szCs w:val="22"/>
        </w:rPr>
        <w:t xml:space="preserve">import the trained models from Members 2 (price), 3 (volume) and 6 (risk) and call them behind one interface. Agree on the exact feature columns with them.</w:t>
      </w:r>
    </w:p>
    <w:p>
      <w:pPr>
        <w:pStyle w:val="Heading2"/>
        <w:keepNext/>
        <w:spacing w:after="120" w:before="200"/>
      </w:pPr>
      <w:r>
        <w:rPr>
          <w:b/>
          <w:bCs/>
          <w:color w:val="1F2A37"/>
          <w:sz w:val="25"/>
          <w:szCs w:val="25"/>
        </w:rPr>
        <w:t xml:space="preserve">5.3 Train the price surrogate</w:t>
      </w:r>
    </w:p>
    <w:p>
      <w:pPr>
        <w:pStyle w:val="ListParagraph"/>
        <w:numPr>
          <w:ilvl w:val="0"/>
          <w:numId w:val="3"/>
        </w:numPr>
        <w:spacing w:after="80" w:line="266"/>
      </w:pPr>
      <w:r>
        <w:rPr>
          <w:rFonts w:ascii="Calibri" w:cs="Calibri" w:eastAsia="Calibri" w:hAnsi="Calibri"/>
          <w:b/>
          <w:bCs/>
          <w:color w:val="1F2A37"/>
          <w:sz w:val="22"/>
          <w:szCs w:val="22"/>
        </w:rPr>
        <w:t xml:space="preserve">Target </w:t>
      </w:r>
      <w:r>
        <w:rPr>
          <w:rFonts w:ascii="Calibri" w:cs="Calibri" w:eastAsia="Calibri" w:hAnsi="Calibri"/>
          <w:color w:val="1F2A37"/>
          <w:sz w:val="22"/>
          <w:szCs w:val="22"/>
        </w:rPr>
        <w:t xml:space="preserve">= Avg_Price. Features = raw district/import volumes (India, China, Local, …) + Product_Name, Category, Unit, season.</w:t>
      </w:r>
    </w:p>
    <w:p>
      <w:pPr>
        <w:pStyle w:val="ListParagraph"/>
        <w:numPr>
          <w:ilvl w:val="0"/>
          <w:numId w:val="3"/>
        </w:numPr>
        <w:spacing w:after="80" w:line="266"/>
      </w:pPr>
      <w:r>
        <w:rPr>
          <w:rFonts w:ascii="Calibri" w:cs="Calibri" w:eastAsia="Calibri" w:hAnsi="Calibri"/>
          <w:b/>
          <w:bCs/>
          <w:color w:val="1F2A37"/>
          <w:sz w:val="22"/>
          <w:szCs w:val="22"/>
        </w:rPr>
        <w:t xml:space="preserve">Exclude </w:t>
      </w:r>
      <w:r>
        <w:rPr>
          <w:rFonts w:ascii="Calibri" w:cs="Calibri" w:eastAsia="Calibri" w:hAnsi="Calibri"/>
          <w:color w:val="1F2A37"/>
          <w:sz w:val="22"/>
          <w:szCs w:val="22"/>
        </w:rPr>
        <w:t xml:space="preserve">Total_Amount. Validate on the time split (Section 4).</w:t>
      </w:r>
    </w:p>
    <w:p>
      <w:pPr>
        <w:pStyle w:val="Heading2"/>
        <w:keepNext/>
        <w:spacing w:after="120" w:before="200"/>
      </w:pPr>
      <w:r>
        <w:rPr>
          <w:b/>
          <w:bCs/>
          <w:color w:val="1F2A37"/>
          <w:sz w:val="25"/>
          <w:szCs w:val="25"/>
        </w:rPr>
        <w:t xml:space="preserve">5.4 Build the scenario function</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imp = [c for c in ['India','China','Bhutan'] if c in src]</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def rebuild(s):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s['TOTAL_sources']  = s[src].sum(axis=1)</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s['import_share']   = s[imp].sum(axis=1)/s['TOTAL_sources'].replace(0,np.nan)</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s['domestic_share'] = 1 - s['import_share']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s['n_sources']      = (s[src] &gt; 0).sum(axis=1)</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return 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def run_scenario(df, changes):        # e.g. {'India':0.7, 'Local':1.2}</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s = rebuild(df.copy().assign(**{c: df[c]*f for c,f in changes.items()}))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price = price_model.predict(s[price_feats])</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volume = s['TOTAL_sources']         # supply sums to volume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risk  = risk_model.predict(s[risk_feats])   # from Member 6</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return pd.DataFrame({'price':price, 'volume':volume, 'risk':risk})</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base    = run_scenario(test, {})</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shocked = run_scenario(test, {'India':0.7, 'Local':1.2})   # India -30%, Local +20%</w:t>
      </w:r>
    </w:p>
    <w:p>
      <w:pPr>
        <w:pStyle w:val="Heading2"/>
        <w:keepNext/>
        <w:spacing w:after="120" w:before="200"/>
      </w:pPr>
      <w:r>
        <w:rPr>
          <w:b/>
          <w:bCs/>
          <w:color w:val="1F2A37"/>
          <w:sz w:val="25"/>
          <w:szCs w:val="25"/>
        </w:rPr>
        <w:t xml:space="preserve">5.5 Report the required scenarios</w:t>
      </w:r>
    </w:p>
    <w:p>
      <w:pPr>
        <w:pStyle w:val="ListParagraph"/>
        <w:numPr>
          <w:ilvl w:val="0"/>
          <w:numId w:val="3"/>
        </w:numPr>
        <w:spacing w:after="80" w:line="266"/>
      </w:pPr>
      <w:r>
        <w:rPr>
          <w:rFonts w:ascii="Calibri" w:cs="Calibri" w:eastAsia="Calibri" w:hAnsi="Calibri"/>
          <w:b/>
          <w:bCs/>
          <w:color w:val="1F2A37"/>
          <w:sz w:val="22"/>
          <w:szCs w:val="22"/>
        </w:rPr>
        <w:t xml:space="preserve">India −30% </w:t>
      </w:r>
      <w:r>
        <w:rPr>
          <w:rFonts w:ascii="Calibri" w:cs="Calibri" w:eastAsia="Calibri" w:hAnsi="Calibri"/>
          <w:color w:val="1F2A37"/>
          <w:sz w:val="22"/>
          <w:szCs w:val="22"/>
        </w:rPr>
        <w:t xml:space="preserve">(factor 0.7); Local +20% (factor 1.2); and one of your own (e.g. China → 0).</w:t>
      </w:r>
    </w:p>
    <w:p>
      <w:pPr>
        <w:pStyle w:val="ListParagraph"/>
        <w:numPr>
          <w:ilvl w:val="0"/>
          <w:numId w:val="3"/>
        </w:numPr>
        <w:spacing w:after="80" w:line="266"/>
      </w:pPr>
      <w:r>
        <w:rPr>
          <w:rFonts w:ascii="Calibri" w:cs="Calibri" w:eastAsia="Calibri" w:hAnsi="Calibri"/>
          <w:b/>
          <w:bCs/>
          <w:color w:val="1F2A37"/>
          <w:sz w:val="22"/>
          <w:szCs w:val="22"/>
        </w:rPr>
        <w:t xml:space="preserve">Deltas </w:t>
      </w:r>
      <w:r>
        <w:rPr>
          <w:rFonts w:ascii="Calibri" w:cs="Calibri" w:eastAsia="Calibri" w:hAnsi="Calibri"/>
          <w:color w:val="1F2A37"/>
          <w:sz w:val="22"/>
          <w:szCs w:val="22"/>
        </w:rPr>
        <w:t xml:space="preserve">in predicted price, volume and risk, per product and by Category, ranked by sensitivity. The most import-reliant products (Coconut, Khasa Garlic Dry, Malta, Grapes) should react most to an import cut — verify they do.</w:t>
      </w:r>
    </w:p>
    <w:tbl>
      <w:tblPr>
        <w:tblW w:type="dxa" w:w="9026"/>
        <w:tblBorders>
          <w:top w:val="single" w:color="C0392B" w:sz="6"/>
          <w:left w:val="single" w:color="C0392B" w:sz="24"/>
          <w:bottom w:val="single" w:color="C0392B" w:sz="6"/>
          <w:right w:val="single" w:color="C0392B" w:sz="6"/>
          <w:insideH w:val="none"/>
          <w:insideV w:val="none"/>
        </w:tblBorders>
      </w:tblPr>
      <w:tblGrid>
        <w:gridCol w:w="9026"/>
      </w:tblGrid>
      <w:tr>
        <w:tc>
          <w:tcPr>
            <w:tcW w:type="dxa" w:w="9026"/>
            <w:shd w:fill="FCEBEA" w:color="auto" w:val="clear"/>
            <w:tcMar>
              <w:top w:type="dxa" w:w="100"/>
              <w:left w:type="dxa" w:w="160"/>
              <w:bottom w:type="dxa" w:w="100"/>
              <w:right w:type="dxa" w:w="160"/>
            </w:tcMar>
          </w:tcPr>
          <w:p>
            <w:pPr>
              <w:spacing w:after="60"/>
            </w:pPr>
            <w:r>
              <w:rPr>
                <w:b/>
                <w:bCs/>
                <w:color w:val="C0392B"/>
                <w:sz w:val="22"/>
                <w:szCs w:val="22"/>
              </w:rPr>
              <w:t xml:space="preserve">Causation caveat — put it in the report</w:t>
            </w:r>
          </w:p>
          <w:p>
            <w:pPr>
              <w:spacing w:after="0" w:line="276"/>
            </w:pPr>
            <w:r>
              <w:rPr>
                <w:rFonts w:ascii="Calibri" w:cs="Calibri" w:eastAsia="Calibri" w:hAnsi="Calibri"/>
                <w:color w:val="1F2A37"/>
                <w:sz w:val="22"/>
                <w:szCs w:val="22"/>
              </w:rPr>
              <w:t xml:space="preserve">This is a </w:t>
            </w:r>
            <w:r>
              <w:rPr>
                <w:rFonts w:ascii="Calibri" w:cs="Calibri" w:eastAsia="Calibri" w:hAnsi="Calibri"/>
                <w:b/>
                <w:bCs/>
                <w:color w:val="1F2A37"/>
                <w:sz w:val="22"/>
                <w:szCs w:val="22"/>
              </w:rPr>
              <w:t xml:space="preserve">correlational simulator</w:t>
            </w:r>
            <w:r>
              <w:rPr>
                <w:rFonts w:ascii="Calibri" w:cs="Calibri" w:eastAsia="Calibri" w:hAnsi="Calibri"/>
                <w:color w:val="1F2A37"/>
                <w:sz w:val="22"/>
                <w:szCs w:val="22"/>
              </w:rPr>
              <w:t xml:space="preserve">: it assumes the historical price–supply relationship holds and other factors stay fixed. Extrapolating far beyond history (e.g. India ×0 for a fully-imported product) is unreliable. Phrase results as 'the model expects…', not 'this will cause…'; mention causal methods (EconML / DoWhy) as a future extension.</w:t>
            </w:r>
          </w:p>
        </w:tc>
      </w:tr>
    </w:tbl>
    <w:p>
      <w:pPr>
        <w:pStyle w:val="Heading2"/>
        <w:keepNext/>
        <w:spacing w:after="120" w:before="200"/>
      </w:pPr>
      <w:r>
        <w:rPr>
          <w:b/>
          <w:bCs/>
          <w:color w:val="1F2A37"/>
          <w:sz w:val="25"/>
          <w:szCs w:val="25"/>
        </w:rPr>
        <w:t xml:space="preserve">SHAP explanations (required)</w:t>
      </w:r>
    </w:p>
    <w:p>
      <w:pPr>
        <w:spacing w:after="120" w:line="276"/>
      </w:pPr>
      <w:r>
        <w:rPr>
          <w:rFonts w:ascii="Calibri" w:cs="Calibri" w:eastAsia="Calibri" w:hAnsi="Calibri"/>
          <w:color w:val="1F2A37"/>
          <w:sz w:val="22"/>
          <w:szCs w:val="22"/>
        </w:rPr>
        <w:t xml:space="preserve">SHAP fairly attributes each prediction to its features via Shapley values. Use </w:t>
      </w:r>
      <w:r>
        <w:rPr>
          <w:rFonts w:ascii="Consolas" w:cs="Consolas" w:eastAsia="Consolas" w:hAnsi="Consolas"/>
          <w:color w:val="1F2A37"/>
          <w:sz w:val="20"/>
          <w:szCs w:val="20"/>
        </w:rPr>
        <w:t xml:space="preserve">TreeExplainer</w:t>
      </w:r>
      <w:r>
        <w:rPr>
          <w:rFonts w:ascii="Calibri" w:cs="Calibri" w:eastAsia="Calibri" w:hAnsi="Calibri"/>
          <w:color w:val="1F2A37"/>
          <w:sz w:val="22"/>
          <w:szCs w:val="22"/>
        </w:rPr>
        <w:t xml:space="preserve"> and explain the </w:t>
      </w:r>
      <w:r>
        <w:rPr>
          <w:rFonts w:ascii="Calibri" w:cs="Calibri" w:eastAsia="Calibri" w:hAnsi="Calibri"/>
          <w:b/>
          <w:bCs/>
          <w:color w:val="1F2A37"/>
          <w:sz w:val="22"/>
          <w:szCs w:val="22"/>
        </w:rPr>
        <w:t xml:space="preserve">test</w:t>
      </w:r>
      <w:r>
        <w:rPr>
          <w:rFonts w:ascii="Calibri" w:cs="Calibri" w:eastAsia="Calibri" w:hAnsi="Calibri"/>
          <w:color w:val="1F2A37"/>
          <w:sz w:val="22"/>
          <w:szCs w:val="22"/>
        </w:rPr>
        <w:t xml:space="preserve"> month. Produce all four artefacts (global bar, beeswarm, dependence, local waterfall), each with 3–5 sentences of interpretation.</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import shap</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sv = shap.TreeExplainer(model)(X_test)</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shap.plots.bar(sv); shap.plots.beeswarm(sv)</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shap.plots.scatter(sv[:, 'import_share']); shap.plots.waterfall(sv[0])</w:t>
      </w:r>
    </w:p>
    <w:p>
      <w:pPr>
        <w:pStyle w:val="Heading3"/>
        <w:keepNext/>
        <w:spacing w:after="120" w:before="200"/>
      </w:pPr>
      <w:r>
        <w:rPr>
          <w:b/>
          <w:bCs/>
          <w:color w:val="1F2A37"/>
          <w:sz w:val="23"/>
          <w:szCs w:val="23"/>
        </w:rPr>
        <w:t xml:space="preserve">What to look for</w:t>
      </w:r>
    </w:p>
    <w:p>
      <w:pPr>
        <w:pStyle w:val="ListParagraph"/>
        <w:numPr>
          <w:ilvl w:val="0"/>
          <w:numId w:val="2"/>
        </w:numPr>
        <w:spacing w:after="60" w:line="264"/>
      </w:pPr>
      <w:r>
        <w:rPr>
          <w:rFonts w:ascii="Calibri" w:cs="Calibri" w:eastAsia="Calibri" w:hAnsi="Calibri"/>
          <w:color w:val="1F2A37"/>
          <w:sz w:val="22"/>
          <w:szCs w:val="22"/>
        </w:rPr>
        <w:t xml:space="preserve">Compare SHAP for a product BEFORE vs AFTER a shock — show which feature's contribution moved.</w:t>
      </w:r>
    </w:p>
    <w:p>
      <w:pPr>
        <w:pStyle w:val="ListParagraph"/>
        <w:numPr>
          <w:ilvl w:val="0"/>
          <w:numId w:val="2"/>
        </w:numPr>
        <w:spacing w:after="60" w:line="264"/>
      </w:pPr>
      <w:r>
        <w:rPr>
          <w:rFonts w:ascii="Calibri" w:cs="Calibri" w:eastAsia="Calibri" w:hAnsi="Calibri"/>
          <w:color w:val="1F2A37"/>
          <w:sz w:val="22"/>
          <w:szCs w:val="22"/>
        </w:rPr>
        <w:t xml:space="preserve">Dependence plots of India and import_share to read the direction and size of the price response.</w:t>
      </w:r>
    </w:p>
    <w:tbl>
      <w:tblPr>
        <w:tblW w:type="dxa" w:w="9026"/>
        <w:tblBorders>
          <w:top w:val="single" w:color="1F5C3F" w:sz="6"/>
          <w:left w:val="single" w:color="1F5C3F" w:sz="24"/>
          <w:bottom w:val="single" w:color="1F5C3F" w:sz="6"/>
          <w:right w:val="single" w:color="1F5C3F" w:sz="6"/>
          <w:insideH w:val="none"/>
          <w:insideV w:val="none"/>
        </w:tblBorders>
      </w:tblPr>
      <w:tblGrid>
        <w:gridCol w:w="9026"/>
      </w:tblGrid>
      <w:tr>
        <w:tc>
          <w:tcPr>
            <w:tcW w:type="dxa" w:w="9026"/>
            <w:shd w:fill="EAF1EC" w:color="auto" w:val="clear"/>
            <w:tcMar>
              <w:top w:type="dxa" w:w="100"/>
              <w:left w:type="dxa" w:w="160"/>
              <w:bottom w:type="dxa" w:w="100"/>
              <w:right w:type="dxa" w:w="160"/>
            </w:tcMar>
          </w:tcPr>
          <w:p>
            <w:pPr>
              <w:spacing w:after="60"/>
            </w:pPr>
            <w:r>
              <w:rPr>
                <w:b/>
                <w:bCs/>
                <w:color w:val="1F5C3F"/>
                <w:sz w:val="22"/>
                <w:szCs w:val="22"/>
              </w:rPr>
              <w:t xml:space="preserve">Two rules that keep SHAP trustworthy</w:t>
            </w:r>
          </w:p>
          <w:p>
            <w:pPr>
              <w:spacing w:after="0" w:line="276"/>
            </w:pPr>
            <w:r>
              <w:rPr>
                <w:rFonts w:ascii="Calibri" w:cs="Calibri" w:eastAsia="Calibri" w:hAnsi="Calibri"/>
                <w:color w:val="1F2A37"/>
                <w:sz w:val="22"/>
                <w:szCs w:val="22"/>
              </w:rPr>
              <w:t xml:space="preserve">Explain the test set (SHAP on overfit training data misleads); and say </w:t>
            </w:r>
            <w:r>
              <w:rPr>
                <w:rFonts w:ascii="Calibri" w:cs="Calibri" w:eastAsia="Calibri" w:hAnsi="Calibri"/>
                <w:b/>
                <w:bCs/>
                <w:color w:val="1F2A37"/>
                <w:sz w:val="22"/>
                <w:szCs w:val="22"/>
              </w:rPr>
              <w:t xml:space="preserve">'the model relies on X'</w:t>
            </w:r>
            <w:r>
              <w:rPr>
                <w:rFonts w:ascii="Calibri" w:cs="Calibri" w:eastAsia="Calibri" w:hAnsi="Calibri"/>
                <w:color w:val="1F2A37"/>
                <w:sz w:val="22"/>
                <w:szCs w:val="22"/>
              </w:rPr>
              <w:t xml:space="preserve">, not 'X causes Y' — SHAP shows associations, not causation.</w:t>
            </w:r>
          </w:p>
        </w:tc>
      </w:tr>
    </w:tbl>
    <w:p>
      <w:pPr>
        <w:pStyle w:val="Heading2"/>
        <w:keepNext/>
        <w:spacing w:after="120" w:before="200"/>
      </w:pPr>
      <w:r>
        <w:rPr>
          <w:b/>
          <w:bCs/>
          <w:color w:val="1F2A37"/>
          <w:sz w:val="25"/>
          <w:szCs w:val="25"/>
        </w:rPr>
        <w:t xml:space="preserve">5.6 Interpret &amp; deliver</w:t>
      </w:r>
    </w:p>
    <w:p>
      <w:pPr>
        <w:spacing w:after="120" w:line="276"/>
      </w:pPr>
      <w:r>
        <w:rPr>
          <w:rFonts w:ascii="Calibri" w:cs="Calibri" w:eastAsia="Calibri" w:hAnsi="Calibri"/>
          <w:color w:val="1F2A37"/>
          <w:sz w:val="22"/>
          <w:szCs w:val="22"/>
        </w:rPr>
        <w:t xml:space="preserve">Deliver a scenario dashboard/table (shock → Δprice, Δvolume, Δrisk), before/after SHAP for a sample product, a sensitivity ranking, and the caveat.</w:t>
      </w:r>
    </w:p>
    <w:p>
      <w:pPr>
        <w:pStyle w:val="Heading2"/>
        <w:keepNext/>
        <w:spacing w:after="120" w:before="200"/>
      </w:pPr>
      <w:r>
        <w:rPr>
          <w:b/>
          <w:bCs/>
          <w:color w:val="1F2A37"/>
          <w:sz w:val="25"/>
          <w:szCs w:val="25"/>
        </w:rPr>
        <w:t xml:space="preserve">Deliverables &amp; grading</w:t>
      </w:r>
    </w:p>
    <w:p>
      <w:pPr>
        <w:spacing w:after="120" w:line="276"/>
      </w:pPr>
      <w:r>
        <w:rPr>
          <w:rFonts w:ascii="Calibri" w:cs="Calibri" w:eastAsia="Calibri" w:hAnsi="Calibri"/>
          <w:color w:val="1F2A37"/>
          <w:sz w:val="22"/>
          <w:szCs w:val="22"/>
        </w:rPr>
        <w:t xml:space="preserve">Submit a reproducible notebook, an evaluation table vs the naïve baseline, all four SHAP artefacts with interpretation, and a one-page limitations note (must mention the 10-month constraint).</w:t>
      </w:r>
    </w:p>
    <w:tbl>
      <w:tblPr>
        <w:tblW w:type="dxa" w:w="9026"/>
        <w:tblBorders>
          <w:top w:val="single" w:color="B8C4BC" w:sz="4"/>
          <w:left w:val="single" w:color="B8C4BC" w:sz="4"/>
          <w:bottom w:val="single" w:color="B8C4BC" w:sz="4"/>
          <w:right w:val="single" w:color="B8C4BC" w:sz="4"/>
          <w:insideH w:val="single" w:color="D5DED8" w:sz="2"/>
          <w:insideV w:val="single" w:color="D5DED8" w:sz="2"/>
        </w:tblBorders>
      </w:tblPr>
      <w:tblGrid>
        <w:gridCol w:w="5000"/>
        <w:gridCol w:w="1500"/>
        <w:gridCol w:w="2526"/>
      </w:tblGrid>
      <w:tr>
        <w:trPr>
          <w:tblHeader/>
        </w:trPr>
        <w:tc>
          <w:tcPr>
            <w:tcW w:type="dxa" w:w="5000"/>
            <w:shd w:fill="1F5C3F" w:color="auto" w:val="clear"/>
            <w:tcMar>
              <w:top w:type="dxa" w:w="70"/>
              <w:left w:type="dxa" w:w="90"/>
              <w:bottom w:type="dxa" w:w="70"/>
              <w:right w:type="dxa" w:w="90"/>
            </w:tcMar>
          </w:tcPr>
          <w:p>
            <w:r>
              <w:rPr>
                <w:b/>
                <w:bCs/>
                <w:color w:val="FFFFFF"/>
                <w:sz w:val="19"/>
                <w:szCs w:val="19"/>
              </w:rPr>
              <w:t xml:space="preserve">Criterion</w:t>
            </w:r>
          </w:p>
        </w:tc>
        <w:tc>
          <w:tcPr>
            <w:tcW w:type="dxa" w:w="1500"/>
            <w:shd w:fill="1F5C3F" w:color="auto" w:val="clear"/>
            <w:tcMar>
              <w:top w:type="dxa" w:w="70"/>
              <w:left w:type="dxa" w:w="90"/>
              <w:bottom w:type="dxa" w:w="70"/>
              <w:right w:type="dxa" w:w="90"/>
            </w:tcMar>
          </w:tcPr>
          <w:p>
            <w:r>
              <w:rPr>
                <w:b/>
                <w:bCs/>
                <w:color w:val="FFFFFF"/>
                <w:sz w:val="19"/>
                <w:szCs w:val="19"/>
              </w:rPr>
              <w:t xml:space="preserve">Weight</w:t>
            </w:r>
          </w:p>
        </w:tc>
        <w:tc>
          <w:tcPr>
            <w:tcW w:type="dxa" w:w="2526"/>
            <w:shd w:fill="1F5C3F" w:color="auto" w:val="clear"/>
            <w:tcMar>
              <w:top w:type="dxa" w:w="70"/>
              <w:left w:type="dxa" w:w="90"/>
              <w:bottom w:type="dxa" w:w="70"/>
              <w:right w:type="dxa" w:w="90"/>
            </w:tcMar>
          </w:tcPr>
          <w:p>
            <w:r>
              <w:rPr>
                <w:b/>
                <w:bCs/>
                <w:color w:val="FFFFFF"/>
                <w:sz w:val="19"/>
                <w:szCs w:val="19"/>
              </w:rPr>
              <w:t xml:space="preserve">What good looks like</w:t>
            </w:r>
          </w:p>
        </w:tc>
      </w:tr>
      <w:tr>
        <w:tc>
          <w:tcPr>
            <w:tcW w:type="dxa" w:w="5000"/>
            <w:tcMar>
              <w:top w:type="dxa" w:w="60"/>
              <w:left w:type="dxa" w:w="90"/>
              <w:bottom w:type="dxa" w:w="60"/>
              <w:right w:type="dxa" w:w="90"/>
            </w:tcMar>
          </w:tcPr>
          <w:p>
            <w:r>
              <w:rPr>
                <w:b/>
                <w:bCs/>
                <w:color w:val="1F2A37"/>
                <w:sz w:val="18"/>
                <w:szCs w:val="18"/>
              </w:rPr>
              <w:t xml:space="preserve">Surrogate price/volume models (no value leakers)</w:t>
            </w:r>
          </w:p>
        </w:tc>
        <w:tc>
          <w:tcPr>
            <w:tcW w:type="dxa" w:w="1500"/>
            <w:tcMar>
              <w:top w:type="dxa" w:w="60"/>
              <w:left w:type="dxa" w:w="90"/>
              <w:bottom w:type="dxa" w:w="60"/>
              <w:right w:type="dxa" w:w="90"/>
            </w:tcMar>
          </w:tcPr>
          <w:p>
            <w:r>
              <w:rPr>
                <w:b w:val="false"/>
                <w:bCs w:val="false"/>
                <w:color w:val="1F2A37"/>
                <w:sz w:val="18"/>
                <w:szCs w:val="18"/>
              </w:rPr>
              <w:t xml:space="preserve">20%</w:t>
            </w:r>
          </w:p>
        </w:tc>
        <w:tc>
          <w:tcPr>
            <w:tcW w:type="dxa" w:w="2526"/>
            <w:tcMar>
              <w:top w:type="dxa" w:w="60"/>
              <w:left w:type="dxa" w:w="90"/>
              <w:bottom w:type="dxa" w:w="60"/>
              <w:right w:type="dxa" w:w="90"/>
            </w:tcMar>
          </w:tcPr>
          <w:p>
            <w:r>
              <w:rPr>
                <w:b w:val="false"/>
                <w:bCs w:val="false"/>
                <w:color w:val="1F2A37"/>
                <w:sz w:val="18"/>
                <w:szCs w:val="18"/>
              </w:rPr>
              <w:t xml:space="preserve">Supply as inputs; validated on time split</w:t>
            </w:r>
          </w:p>
        </w:tc>
      </w:tr>
      <w:tr>
        <w:tc>
          <w:tcPr>
            <w:tcW w:type="dxa" w:w="5000"/>
            <w:shd w:fill="EAF1EC" w:color="auto" w:val="clear"/>
            <w:tcMar>
              <w:top w:type="dxa" w:w="60"/>
              <w:left w:type="dxa" w:w="90"/>
              <w:bottom w:type="dxa" w:w="60"/>
              <w:right w:type="dxa" w:w="90"/>
            </w:tcMar>
          </w:tcPr>
          <w:p>
            <w:r>
              <w:rPr>
                <w:b/>
                <w:bCs/>
                <w:color w:val="1F2A37"/>
                <w:sz w:val="18"/>
                <w:szCs w:val="18"/>
              </w:rPr>
              <w:t xml:space="preserve">Scenario engine recomputes derived features</w:t>
            </w:r>
          </w:p>
        </w:tc>
        <w:tc>
          <w:tcPr>
            <w:tcW w:type="dxa" w:w="1500"/>
            <w:shd w:fill="EAF1EC" w:color="auto" w:val="clear"/>
            <w:tcMar>
              <w:top w:type="dxa" w:w="60"/>
              <w:left w:type="dxa" w:w="90"/>
              <w:bottom w:type="dxa" w:w="60"/>
              <w:right w:type="dxa" w:w="90"/>
            </w:tcMar>
          </w:tcPr>
          <w:p>
            <w:r>
              <w:rPr>
                <w:b w:val="false"/>
                <w:bCs w:val="false"/>
                <w:color w:val="1F2A37"/>
                <w:sz w:val="18"/>
                <w:szCs w:val="18"/>
              </w:rPr>
              <w:t xml:space="preserve">25%</w:t>
            </w:r>
          </w:p>
        </w:tc>
        <w:tc>
          <w:tcPr>
            <w:tcW w:type="dxa" w:w="2526"/>
            <w:shd w:fill="EAF1EC" w:color="auto" w:val="clear"/>
            <w:tcMar>
              <w:top w:type="dxa" w:w="60"/>
              <w:left w:type="dxa" w:w="90"/>
              <w:bottom w:type="dxa" w:w="60"/>
              <w:right w:type="dxa" w:w="90"/>
            </w:tcMar>
          </w:tcPr>
          <w:p>
            <w:r>
              <w:rPr>
                <w:b w:val="false"/>
                <w:bCs w:val="false"/>
                <w:color w:val="1F2A37"/>
                <w:sz w:val="18"/>
                <w:szCs w:val="18"/>
              </w:rPr>
              <w:t xml:space="preserve">Shares/risk rebuilt after every shock</w:t>
            </w:r>
          </w:p>
        </w:tc>
      </w:tr>
      <w:tr>
        <w:tc>
          <w:tcPr>
            <w:tcW w:type="dxa" w:w="5000"/>
            <w:tcMar>
              <w:top w:type="dxa" w:w="60"/>
              <w:left w:type="dxa" w:w="90"/>
              <w:bottom w:type="dxa" w:w="60"/>
              <w:right w:type="dxa" w:w="90"/>
            </w:tcMar>
          </w:tcPr>
          <w:p>
            <w:r>
              <w:rPr>
                <w:b/>
                <w:bCs/>
                <w:color w:val="1F2A37"/>
                <w:sz w:val="18"/>
                <w:szCs w:val="18"/>
              </w:rPr>
              <w:t xml:space="preserve">Required + own scenarios; risk change reported</w:t>
            </w:r>
          </w:p>
        </w:tc>
        <w:tc>
          <w:tcPr>
            <w:tcW w:type="dxa" w:w="1500"/>
            <w:tcMar>
              <w:top w:type="dxa" w:w="60"/>
              <w:left w:type="dxa" w:w="90"/>
              <w:bottom w:type="dxa" w:w="60"/>
              <w:right w:type="dxa" w:w="90"/>
            </w:tcMar>
          </w:tcPr>
          <w:p>
            <w:r>
              <w:rPr>
                <w:b w:val="false"/>
                <w:bCs w:val="false"/>
                <w:color w:val="1F2A37"/>
                <w:sz w:val="18"/>
                <w:szCs w:val="18"/>
              </w:rPr>
              <w:t xml:space="preserve">20%</w:t>
            </w:r>
          </w:p>
        </w:tc>
        <w:tc>
          <w:tcPr>
            <w:tcW w:type="dxa" w:w="2526"/>
            <w:tcMar>
              <w:top w:type="dxa" w:w="60"/>
              <w:left w:type="dxa" w:w="90"/>
              <w:bottom w:type="dxa" w:w="60"/>
              <w:right w:type="dxa" w:w="90"/>
            </w:tcMar>
          </w:tcPr>
          <w:p>
            <w:r>
              <w:rPr>
                <w:b w:val="false"/>
                <w:bCs w:val="false"/>
                <w:color w:val="1F2A37"/>
                <w:sz w:val="18"/>
                <w:szCs w:val="18"/>
              </w:rPr>
              <w:t xml:space="preserve">India −30%, Local +20%, one more</w:t>
            </w:r>
          </w:p>
        </w:tc>
      </w:tr>
      <w:tr>
        <w:tc>
          <w:tcPr>
            <w:tcW w:type="dxa" w:w="5000"/>
            <w:shd w:fill="EAF1EC" w:color="auto" w:val="clear"/>
            <w:tcMar>
              <w:top w:type="dxa" w:w="60"/>
              <w:left w:type="dxa" w:w="90"/>
              <w:bottom w:type="dxa" w:w="60"/>
              <w:right w:type="dxa" w:w="90"/>
            </w:tcMar>
          </w:tcPr>
          <w:p>
            <w:r>
              <w:rPr>
                <w:b/>
                <w:bCs/>
                <w:color w:val="1F2A37"/>
                <w:sz w:val="18"/>
                <w:szCs w:val="18"/>
              </w:rPr>
              <w:t xml:space="preserve">SHAP before/after + causal caveat</w:t>
            </w:r>
          </w:p>
        </w:tc>
        <w:tc>
          <w:tcPr>
            <w:tcW w:type="dxa" w:w="1500"/>
            <w:shd w:fill="EAF1EC" w:color="auto" w:val="clear"/>
            <w:tcMar>
              <w:top w:type="dxa" w:w="60"/>
              <w:left w:type="dxa" w:w="90"/>
              <w:bottom w:type="dxa" w:w="60"/>
              <w:right w:type="dxa" w:w="90"/>
            </w:tcMar>
          </w:tcPr>
          <w:p>
            <w:r>
              <w:rPr>
                <w:b w:val="false"/>
                <w:bCs w:val="false"/>
                <w:color w:val="1F2A37"/>
                <w:sz w:val="18"/>
                <w:szCs w:val="18"/>
              </w:rPr>
              <w:t xml:space="preserve">25%</w:t>
            </w:r>
          </w:p>
        </w:tc>
        <w:tc>
          <w:tcPr>
            <w:tcW w:type="dxa" w:w="2526"/>
            <w:shd w:fill="EAF1EC" w:color="auto" w:val="clear"/>
            <w:tcMar>
              <w:top w:type="dxa" w:w="60"/>
              <w:left w:type="dxa" w:w="90"/>
              <w:bottom w:type="dxa" w:w="60"/>
              <w:right w:type="dxa" w:w="90"/>
            </w:tcMar>
          </w:tcPr>
          <w:p>
            <w:r>
              <w:rPr>
                <w:b w:val="false"/>
                <w:bCs w:val="false"/>
                <w:color w:val="1F2A37"/>
                <w:sz w:val="18"/>
                <w:szCs w:val="18"/>
              </w:rPr>
              <w:t xml:space="preserve">Change explained; caveat stated</w:t>
            </w:r>
          </w:p>
        </w:tc>
      </w:tr>
      <w:tr>
        <w:tc>
          <w:tcPr>
            <w:tcW w:type="dxa" w:w="5000"/>
            <w:tcMar>
              <w:top w:type="dxa" w:w="60"/>
              <w:left w:type="dxa" w:w="90"/>
              <w:bottom w:type="dxa" w:w="60"/>
              <w:right w:type="dxa" w:w="90"/>
            </w:tcMar>
          </w:tcPr>
          <w:p>
            <w:r>
              <w:rPr>
                <w:b/>
                <w:bCs/>
                <w:color w:val="1F2A37"/>
                <w:sz w:val="18"/>
                <w:szCs w:val="18"/>
              </w:rPr>
              <w:t xml:space="preserve">Integration + write-up</w:t>
            </w:r>
          </w:p>
        </w:tc>
        <w:tc>
          <w:tcPr>
            <w:tcW w:type="dxa" w:w="1500"/>
            <w:tcMar>
              <w:top w:type="dxa" w:w="60"/>
              <w:left w:type="dxa" w:w="90"/>
              <w:bottom w:type="dxa" w:w="60"/>
              <w:right w:type="dxa" w:w="90"/>
            </w:tcMar>
          </w:tcPr>
          <w:p>
            <w:r>
              <w:rPr>
                <w:b w:val="false"/>
                <w:bCs w:val="false"/>
                <w:color w:val="1F2A37"/>
                <w:sz w:val="18"/>
                <w:szCs w:val="18"/>
              </w:rPr>
              <w:t xml:space="preserve">10%</w:t>
            </w:r>
          </w:p>
        </w:tc>
        <w:tc>
          <w:tcPr>
            <w:tcW w:type="dxa" w:w="2526"/>
            <w:tcMar>
              <w:top w:type="dxa" w:w="60"/>
              <w:left w:type="dxa" w:w="90"/>
              <w:bottom w:type="dxa" w:w="60"/>
              <w:right w:type="dxa" w:w="90"/>
            </w:tcMar>
          </w:tcPr>
          <w:p>
            <w:r>
              <w:rPr>
                <w:b w:val="false"/>
                <w:bCs w:val="false"/>
                <w:color w:val="1F2A37"/>
                <w:sz w:val="18"/>
                <w:szCs w:val="18"/>
              </w:rPr>
              <w:t xml:space="preserve">Clean interface to Members 2/3/6</w:t>
            </w:r>
          </w:p>
        </w:tc>
      </w:tr>
    </w:tbl>
    <w:p>
      <w:pPr>
        <w:pStyle w:val="Heading2"/>
        <w:keepNext/>
        <w:spacing w:after="120" w:before="200"/>
      </w:pPr>
      <w:r>
        <w:rPr>
          <w:b/>
          <w:bCs/>
          <w:color w:val="1F2A37"/>
          <w:sz w:val="25"/>
          <w:szCs w:val="25"/>
        </w:rPr>
        <w:t xml:space="preserve">Pitfalls</w:t>
      </w:r>
    </w:p>
    <w:p>
      <w:pPr>
        <w:spacing w:after="120" w:line="276"/>
      </w:pPr>
      <w:r>
        <w:rPr>
          <w:rFonts w:ascii="Calibri" w:cs="Calibri" w:eastAsia="Calibri" w:hAnsi="Calibri"/>
          <w:color w:val="1F2A37"/>
          <w:sz w:val="22"/>
          <w:szCs w:val="22"/>
        </w:rPr>
        <w:t xml:space="preserve">Forgetting to recompute shares/risk after a shock (most common bug); double-counting the volume change; treating outputs as certainty; mismatched feature columns with Members 2/3/6.</w:t>
      </w:r>
    </w:p>
    <w:p>
      <w:r>
        <w:br w:type="page"/>
      </w:r>
    </w:p>
    <w:p>
      <w:pPr>
        <w:pStyle w:val="Heading1"/>
        <w:keepNext/>
        <w:spacing w:after="120" w:before="280"/>
      </w:pPr>
      <w:r>
        <w:rPr>
          <w:b/>
          <w:bCs/>
          <w:color w:val="1F5C3F"/>
          <w:sz w:val="30"/>
          <w:szCs w:val="30"/>
        </w:rPr>
        <w:t xml:space="preserve">Appendix — reusable snippets</w:t>
      </w:r>
    </w:p>
    <w:p>
      <w:pPr>
        <w:pStyle w:val="Heading2"/>
        <w:keepNext/>
        <w:spacing w:after="120" w:before="200"/>
      </w:pPr>
      <w:r>
        <w:rPr>
          <w:b/>
          <w:bCs/>
          <w:color w:val="1F2A37"/>
          <w:sz w:val="25"/>
          <w:szCs w:val="25"/>
        </w:rPr>
        <w:t xml:space="preserve">A. LightGBM — regression &amp; classification</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import lightgbm as lgb</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cat = ['Product_Name','Category','Unit']</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for c in cat: X_tr[c]=X_tr[c].astype('category'); X_te[c]=X_te[c].astype('category')</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reg = lgb.LGBMRegressor(objective='regression_l1', num_leaves=31, learning_rate=0.05,</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n_estimators=800, subsample=0.9, reg_lambda=1.0, random_state=42)</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clf = lgb.LGBMClassifier(objective='multiclass', num_leaves=31, learning_rate=0.05,</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                         n_estimators=600, class_weight='balanced', random_state=42)</w:t>
      </w:r>
    </w:p>
    <w:p>
      <w:pPr>
        <w:pStyle w:val="Heading2"/>
        <w:keepNext/>
        <w:spacing w:after="120" w:before="200"/>
      </w:pPr>
      <w:r>
        <w:rPr>
          <w:b/>
          <w:bCs/>
          <w:color w:val="1F2A37"/>
          <w:sz w:val="25"/>
          <w:szCs w:val="25"/>
        </w:rPr>
        <w:t xml:space="preserve">B. Metrics helpers</w:t>
      </w:r>
    </w:p>
    <w:p>
      <w:pPr>
        <w:pBdr>
          <w:left w:val="single" w:color="1F5C3F" w:sz="18" w:space="6"/>
        </w:pBdr>
        <w:shd w:fill="F3F4F6" w:color="auto" w:val="clear"/>
        <w:spacing w:after="0" w:before="60" w:line="240"/>
        <w:ind w:left="120"/>
      </w:pPr>
      <w:r>
        <w:rPr>
          <w:rFonts w:ascii="Consolas" w:cs="Consolas" w:eastAsia="Consolas" w:hAnsi="Consolas"/>
          <w:color w:val="111827"/>
          <w:sz w:val="18"/>
          <w:szCs w:val="18"/>
        </w:rPr>
        <w:t xml:space="preserve">from sklearn.metrics import (mean_absolute_error, mean_squared_error, r2_score,</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f1_score, accuracy_score, classification_report, confusion_matrix)</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def reg_report(y, p):</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return dict(MAE=round(mean_absolute_error(y,p),2),</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RMSE=round(mean_squared_error(y,p)**0.5,2),</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R2=round(r2_score(y,p),3))</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def clf_report(y, p):</w:t>
      </w:r>
    </w:p>
    <w:p>
      <w:pPr>
        <w:pBdr>
          <w:left w:val="single" w:color="1F5C3F" w:sz="18" w:space="6"/>
        </w:pBdr>
        <w:shd w:fill="F3F4F6" w:color="auto" w:val="clear"/>
        <w:spacing w:after="0" w:before="0" w:line="240"/>
        <w:ind w:left="120"/>
      </w:pPr>
      <w:r>
        <w:rPr>
          <w:rFonts w:ascii="Consolas" w:cs="Consolas" w:eastAsia="Consolas" w:hAnsi="Consolas"/>
          <w:color w:val="111827"/>
          <w:sz w:val="18"/>
          <w:szCs w:val="18"/>
        </w:rPr>
        <w:t xml:space="preserve">    return dict(acc=round(accuracy_score(y,p),3),</w:t>
      </w:r>
    </w:p>
    <w:p>
      <w:pPr>
        <w:pBdr>
          <w:left w:val="single" w:color="1F5C3F" w:sz="18" w:space="6"/>
        </w:pBdr>
        <w:shd w:fill="F3F4F6" w:color="auto" w:val="clear"/>
        <w:spacing w:after="120" w:before="0" w:line="240"/>
        <w:ind w:left="120"/>
      </w:pPr>
      <w:r>
        <w:rPr>
          <w:rFonts w:ascii="Consolas" w:cs="Consolas" w:eastAsia="Consolas" w:hAnsi="Consolas"/>
          <w:color w:val="111827"/>
          <w:sz w:val="18"/>
          <w:szCs w:val="18"/>
        </w:rPr>
        <w:t xml:space="preserve">                macro_f1=round(f1_score(y,p,average='macro'),3))</w:t>
      </w:r>
    </w:p>
    <w:p>
      <w:pPr>
        <w:pStyle w:val="Heading2"/>
        <w:keepNext/>
        <w:spacing w:after="120" w:before="200"/>
      </w:pPr>
      <w:r>
        <w:rPr>
          <w:b/>
          <w:bCs/>
          <w:color w:val="1F2A37"/>
          <w:sz w:val="25"/>
          <w:szCs w:val="25"/>
        </w:rPr>
        <w:t xml:space="preserve">C. Nepali season / festival flags</w:t>
      </w:r>
    </w:p>
    <w:tbl>
      <w:tblPr>
        <w:tblW w:type="dxa" w:w="9026"/>
        <w:tblBorders>
          <w:top w:val="single" w:color="B8C4BC" w:sz="4"/>
          <w:left w:val="single" w:color="B8C4BC" w:sz="4"/>
          <w:bottom w:val="single" w:color="B8C4BC" w:sz="4"/>
          <w:right w:val="single" w:color="B8C4BC" w:sz="4"/>
          <w:insideH w:val="single" w:color="D5DED8" w:sz="2"/>
          <w:insideV w:val="single" w:color="D5DED8" w:sz="2"/>
        </w:tblBorders>
      </w:tblPr>
      <w:tblGrid>
        <w:gridCol w:w="2600"/>
        <w:gridCol w:w="2400"/>
        <w:gridCol w:w="4026"/>
      </w:tblGrid>
      <w:tr>
        <w:trPr>
          <w:tblHeader/>
        </w:trPr>
        <w:tc>
          <w:tcPr>
            <w:tcW w:type="dxa" w:w="2600"/>
            <w:shd w:fill="1F5C3F" w:color="auto" w:val="clear"/>
            <w:tcMar>
              <w:top w:type="dxa" w:w="70"/>
              <w:left w:type="dxa" w:w="90"/>
              <w:bottom w:type="dxa" w:w="70"/>
              <w:right w:type="dxa" w:w="90"/>
            </w:tcMar>
          </w:tcPr>
          <w:p>
            <w:r>
              <w:rPr>
                <w:b/>
                <w:bCs/>
                <w:color w:val="FFFFFF"/>
                <w:sz w:val="19"/>
                <w:szCs w:val="19"/>
              </w:rPr>
              <w:t xml:space="preserve">Event / season</w:t>
            </w:r>
          </w:p>
        </w:tc>
        <w:tc>
          <w:tcPr>
            <w:tcW w:type="dxa" w:w="2400"/>
            <w:shd w:fill="1F5C3F" w:color="auto" w:val="clear"/>
            <w:tcMar>
              <w:top w:type="dxa" w:w="70"/>
              <w:left w:type="dxa" w:w="90"/>
              <w:bottom w:type="dxa" w:w="70"/>
              <w:right w:type="dxa" w:w="90"/>
            </w:tcMar>
          </w:tcPr>
          <w:p>
            <w:r>
              <w:rPr>
                <w:b/>
                <w:bCs/>
                <w:color w:val="FFFFFF"/>
                <w:sz w:val="19"/>
                <w:szCs w:val="19"/>
              </w:rPr>
              <w:t xml:space="preserve">BS months</w:t>
            </w:r>
          </w:p>
        </w:tc>
        <w:tc>
          <w:tcPr>
            <w:tcW w:type="dxa" w:w="4026"/>
            <w:shd w:fill="1F5C3F" w:color="auto" w:val="clear"/>
            <w:tcMar>
              <w:top w:type="dxa" w:w="70"/>
              <w:left w:type="dxa" w:w="90"/>
              <w:bottom w:type="dxa" w:w="70"/>
              <w:right w:type="dxa" w:w="90"/>
            </w:tcMar>
          </w:tcPr>
          <w:p>
            <w:r>
              <w:rPr>
                <w:b/>
                <w:bCs/>
                <w:color w:val="FFFFFF"/>
                <w:sz w:val="19"/>
                <w:szCs w:val="19"/>
              </w:rPr>
              <w:t xml:space="preserve">Market effect</w:t>
            </w:r>
          </w:p>
        </w:tc>
      </w:tr>
      <w:tr>
        <w:tc>
          <w:tcPr>
            <w:tcW w:type="dxa" w:w="2600"/>
            <w:tcMar>
              <w:top w:type="dxa" w:w="60"/>
              <w:left w:type="dxa" w:w="90"/>
              <w:bottom w:type="dxa" w:w="60"/>
              <w:right w:type="dxa" w:w="90"/>
            </w:tcMar>
          </w:tcPr>
          <w:p>
            <w:r>
              <w:rPr>
                <w:b/>
                <w:bCs/>
                <w:color w:val="1F2A37"/>
                <w:sz w:val="18"/>
                <w:szCs w:val="18"/>
              </w:rPr>
              <w:t xml:space="preserve">Dashain</w:t>
            </w:r>
          </w:p>
        </w:tc>
        <w:tc>
          <w:tcPr>
            <w:tcW w:type="dxa" w:w="2400"/>
            <w:tcMar>
              <w:top w:type="dxa" w:w="60"/>
              <w:left w:type="dxa" w:w="90"/>
              <w:bottom w:type="dxa" w:w="60"/>
              <w:right w:type="dxa" w:w="90"/>
            </w:tcMar>
          </w:tcPr>
          <w:p>
            <w:r>
              <w:rPr>
                <w:b w:val="false"/>
                <w:bCs w:val="false"/>
                <w:color w:val="1F2A37"/>
                <w:sz w:val="18"/>
                <w:szCs w:val="18"/>
              </w:rPr>
              <w:t xml:space="preserve">Ashwin–Kartik</w:t>
            </w:r>
          </w:p>
        </w:tc>
        <w:tc>
          <w:tcPr>
            <w:tcW w:type="dxa" w:w="4026"/>
            <w:tcMar>
              <w:top w:type="dxa" w:w="60"/>
              <w:left w:type="dxa" w:w="90"/>
              <w:bottom w:type="dxa" w:w="60"/>
              <w:right w:type="dxa" w:w="90"/>
            </w:tcMar>
          </w:tcPr>
          <w:p>
            <w:r>
              <w:rPr>
                <w:b w:val="false"/>
                <w:bCs w:val="false"/>
                <w:color w:val="1F2A37"/>
                <w:sz w:val="18"/>
                <w:szCs w:val="18"/>
              </w:rPr>
              <w:t xml:space="preserve">Big demand spike (meat, veg, fruit)</w:t>
            </w:r>
          </w:p>
        </w:tc>
      </w:tr>
      <w:tr>
        <w:tc>
          <w:tcPr>
            <w:tcW w:type="dxa" w:w="2600"/>
            <w:shd w:fill="EAF1EC" w:color="auto" w:val="clear"/>
            <w:tcMar>
              <w:top w:type="dxa" w:w="60"/>
              <w:left w:type="dxa" w:w="90"/>
              <w:bottom w:type="dxa" w:w="60"/>
              <w:right w:type="dxa" w:w="90"/>
            </w:tcMar>
          </w:tcPr>
          <w:p>
            <w:r>
              <w:rPr>
                <w:b/>
                <w:bCs/>
                <w:color w:val="1F2A37"/>
                <w:sz w:val="18"/>
                <w:szCs w:val="18"/>
              </w:rPr>
              <w:t xml:space="preserve">Tihar / Chhath</w:t>
            </w:r>
          </w:p>
        </w:tc>
        <w:tc>
          <w:tcPr>
            <w:tcW w:type="dxa" w:w="2400"/>
            <w:shd w:fill="EAF1EC" w:color="auto" w:val="clear"/>
            <w:tcMar>
              <w:top w:type="dxa" w:w="60"/>
              <w:left w:type="dxa" w:w="90"/>
              <w:bottom w:type="dxa" w:w="60"/>
              <w:right w:type="dxa" w:w="90"/>
            </w:tcMar>
          </w:tcPr>
          <w:p>
            <w:r>
              <w:rPr>
                <w:b w:val="false"/>
                <w:bCs w:val="false"/>
                <w:color w:val="1F2A37"/>
                <w:sz w:val="18"/>
                <w:szCs w:val="18"/>
              </w:rPr>
              <w:t xml:space="preserve">Kartik</w:t>
            </w:r>
          </w:p>
        </w:tc>
        <w:tc>
          <w:tcPr>
            <w:tcW w:type="dxa" w:w="4026"/>
            <w:shd w:fill="EAF1EC" w:color="auto" w:val="clear"/>
            <w:tcMar>
              <w:top w:type="dxa" w:w="60"/>
              <w:left w:type="dxa" w:w="90"/>
              <w:bottom w:type="dxa" w:w="60"/>
              <w:right w:type="dxa" w:w="90"/>
            </w:tcMar>
          </w:tcPr>
          <w:p>
            <w:r>
              <w:rPr>
                <w:b w:val="false"/>
                <w:bCs w:val="false"/>
                <w:color w:val="1F2A37"/>
                <w:sz w:val="18"/>
                <w:szCs w:val="18"/>
              </w:rPr>
              <w:t xml:space="preserve">Sweets, fruit, oil demand rises</w:t>
            </w:r>
          </w:p>
        </w:tc>
      </w:tr>
      <w:tr>
        <w:tc>
          <w:tcPr>
            <w:tcW w:type="dxa" w:w="2600"/>
            <w:tcMar>
              <w:top w:type="dxa" w:w="60"/>
              <w:left w:type="dxa" w:w="90"/>
              <w:bottom w:type="dxa" w:w="60"/>
              <w:right w:type="dxa" w:w="90"/>
            </w:tcMar>
          </w:tcPr>
          <w:p>
            <w:r>
              <w:rPr>
                <w:b/>
                <w:bCs/>
                <w:color w:val="1F2A37"/>
                <w:sz w:val="18"/>
                <w:szCs w:val="18"/>
              </w:rPr>
              <w:t xml:space="preserve">Monsoon</w:t>
            </w:r>
          </w:p>
        </w:tc>
        <w:tc>
          <w:tcPr>
            <w:tcW w:type="dxa" w:w="2400"/>
            <w:tcMar>
              <w:top w:type="dxa" w:w="60"/>
              <w:left w:type="dxa" w:w="90"/>
              <w:bottom w:type="dxa" w:w="60"/>
              <w:right w:type="dxa" w:w="90"/>
            </w:tcMar>
          </w:tcPr>
          <w:p>
            <w:r>
              <w:rPr>
                <w:b w:val="false"/>
                <w:bCs w:val="false"/>
                <w:color w:val="1F2A37"/>
                <w:sz w:val="18"/>
                <w:szCs w:val="18"/>
              </w:rPr>
              <w:t xml:space="preserve">Ashadh–Bhadra</w:t>
            </w:r>
          </w:p>
        </w:tc>
        <w:tc>
          <w:tcPr>
            <w:tcW w:type="dxa" w:w="4026"/>
            <w:tcMar>
              <w:top w:type="dxa" w:w="60"/>
              <w:left w:type="dxa" w:w="90"/>
              <w:bottom w:type="dxa" w:w="60"/>
              <w:right w:type="dxa" w:w="90"/>
            </w:tcMar>
          </w:tcPr>
          <w:p>
            <w:r>
              <w:rPr>
                <w:b w:val="false"/>
                <w:bCs w:val="false"/>
                <w:color w:val="1F2A37"/>
                <w:sz w:val="18"/>
                <w:szCs w:val="18"/>
              </w:rPr>
              <w:t xml:space="preserve">Supply/transport disruption; price swings</w:t>
            </w:r>
          </w:p>
        </w:tc>
      </w:tr>
      <w:tr>
        <w:tc>
          <w:tcPr>
            <w:tcW w:type="dxa" w:w="2600"/>
            <w:shd w:fill="EAF1EC" w:color="auto" w:val="clear"/>
            <w:tcMar>
              <w:top w:type="dxa" w:w="60"/>
              <w:left w:type="dxa" w:w="90"/>
              <w:bottom w:type="dxa" w:w="60"/>
              <w:right w:type="dxa" w:w="90"/>
            </w:tcMar>
          </w:tcPr>
          <w:p>
            <w:r>
              <w:rPr>
                <w:b/>
                <w:bCs/>
                <w:color w:val="1F2A37"/>
                <w:sz w:val="18"/>
                <w:szCs w:val="18"/>
              </w:rPr>
              <w:t xml:space="preserve">Winter harvest</w:t>
            </w:r>
          </w:p>
        </w:tc>
        <w:tc>
          <w:tcPr>
            <w:tcW w:type="dxa" w:w="2400"/>
            <w:shd w:fill="EAF1EC" w:color="auto" w:val="clear"/>
            <w:tcMar>
              <w:top w:type="dxa" w:w="60"/>
              <w:left w:type="dxa" w:w="90"/>
              <w:bottom w:type="dxa" w:w="60"/>
              <w:right w:type="dxa" w:w="90"/>
            </w:tcMar>
          </w:tcPr>
          <w:p>
            <w:r>
              <w:rPr>
                <w:b w:val="false"/>
                <w:bCs w:val="false"/>
                <w:color w:val="1F2A37"/>
                <w:sz w:val="18"/>
                <w:szCs w:val="18"/>
              </w:rPr>
              <w:t xml:space="preserve">Mangsir–Magh</w:t>
            </w:r>
          </w:p>
        </w:tc>
        <w:tc>
          <w:tcPr>
            <w:tcW w:type="dxa" w:w="4026"/>
            <w:shd w:fill="EAF1EC" w:color="auto" w:val="clear"/>
            <w:tcMar>
              <w:top w:type="dxa" w:w="60"/>
              <w:left w:type="dxa" w:w="90"/>
              <w:bottom w:type="dxa" w:w="60"/>
              <w:right w:type="dxa" w:w="90"/>
            </w:tcMar>
          </w:tcPr>
          <w:p>
            <w:r>
              <w:rPr>
                <w:b w:val="false"/>
                <w:bCs w:val="false"/>
                <w:color w:val="1F2A37"/>
                <w:sz w:val="18"/>
                <w:szCs w:val="18"/>
              </w:rPr>
              <w:t xml:space="preserve">More local vegetables, softer prices</w:t>
            </w:r>
          </w:p>
        </w:tc>
      </w:tr>
      <w:tr>
        <w:tc>
          <w:tcPr>
            <w:tcW w:type="dxa" w:w="2600"/>
            <w:tcMar>
              <w:top w:type="dxa" w:w="60"/>
              <w:left w:type="dxa" w:w="90"/>
              <w:bottom w:type="dxa" w:w="60"/>
              <w:right w:type="dxa" w:w="90"/>
            </w:tcMar>
          </w:tcPr>
          <w:p>
            <w:r>
              <w:rPr>
                <w:b/>
                <w:bCs/>
                <w:color w:val="1F2A37"/>
                <w:sz w:val="18"/>
                <w:szCs w:val="18"/>
              </w:rPr>
              <w:t xml:space="preserve">Pre-monsoon</w:t>
            </w:r>
          </w:p>
        </w:tc>
        <w:tc>
          <w:tcPr>
            <w:tcW w:type="dxa" w:w="2400"/>
            <w:tcMar>
              <w:top w:type="dxa" w:w="60"/>
              <w:left w:type="dxa" w:w="90"/>
              <w:bottom w:type="dxa" w:w="60"/>
              <w:right w:type="dxa" w:w="90"/>
            </w:tcMar>
          </w:tcPr>
          <w:p>
            <w:r>
              <w:rPr>
                <w:b w:val="false"/>
                <w:bCs w:val="false"/>
                <w:color w:val="1F2A37"/>
                <w:sz w:val="18"/>
                <w:szCs w:val="18"/>
              </w:rPr>
              <w:t xml:space="preserve">Chaitra–Jestha</w:t>
            </w:r>
          </w:p>
        </w:tc>
        <w:tc>
          <w:tcPr>
            <w:tcW w:type="dxa" w:w="4026"/>
            <w:tcMar>
              <w:top w:type="dxa" w:w="60"/>
              <w:left w:type="dxa" w:w="90"/>
              <w:bottom w:type="dxa" w:w="60"/>
              <w:right w:type="dxa" w:w="90"/>
            </w:tcMar>
          </w:tcPr>
          <w:p>
            <w:r>
              <w:rPr>
                <w:b w:val="false"/>
                <w:bCs w:val="false"/>
                <w:color w:val="1F2A37"/>
                <w:sz w:val="18"/>
                <w:szCs w:val="18"/>
              </w:rPr>
              <w:t xml:space="preserve">More imports for some produce</w:t>
            </w:r>
          </w:p>
        </w:tc>
      </w:tr>
    </w:tbl>
    <w:p>
      <w:pPr>
        <w:spacing w:after="60" w:line="276"/>
      </w:pPr>
      <w:r>
        <w:rPr>
          <w:rFonts w:ascii="Calibri" w:cs="Calibri" w:eastAsia="Calibri" w:hAnsi="Calibri"/>
          <w:color w:val="1F2A37"/>
          <w:sz w:val="22"/>
          <w:szCs w:val="22"/>
        </w:rPr>
        <w:t xml:space="preserve">Confirm exact dates per year — BS dates shift against the Gregorian calendar.</w:t>
      </w:r>
    </w:p>
    <w:p>
      <w:pPr>
        <w:pBdr>
          <w:bottom w:val="single" w:color="D5DED8" w:sz="6"/>
        </w:pBdr>
        <w:spacing w:after="120" w:before="40"/>
      </w:pPr>
    </w:p>
    <w:p>
      <w:pPr>
        <w:spacing w:after="0" w:line="276"/>
      </w:pPr>
      <w:r>
        <w:rPr>
          <w:rFonts w:ascii="Calibri" w:cs="Calibri" w:eastAsia="Calibri" w:hAnsi="Calibri"/>
          <w:color w:val="1F2A37"/>
          <w:sz w:val="22"/>
          <w:szCs w:val="22"/>
        </w:rPr>
        <w:t xml:space="preserve">This guide is one of six coordinated roles in the same system. Standardise the data once (Section 3), split by time, guard the verified leakage traps (Section 4), and use LightGBM + TreeSHAP as the common backbone.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A8F"/>
        <w:sz w:val="16"/>
        <w:szCs w:val="16"/>
      </w:rPr>
      <w:t xml:space="preserve">Member 1 · What-If Scenario Prediction Engine · </w:t>
    </w:r>
    <w:r>
      <w:rPr>
        <w:color w:val="8A9A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1 — What-If Scenario Prediction Engine</dc:title>
  <dc:creator>Agri-ML Procurement DSS</dc:creator>
  <cp:lastModifiedBy>Un-named</cp:lastModifiedBy>
  <cp:revision>1</cp:revision>
  <dcterms:created xsi:type="dcterms:W3CDTF">2026-07-16T18:02:40.906Z</dcterms:created>
  <dcterms:modified xsi:type="dcterms:W3CDTF">2026-07-16T18:02:40.907Z</dcterms:modified>
</cp:coreProperties>
</file>

<file path=docProps/custom.xml><?xml version="1.0" encoding="utf-8"?>
<Properties xmlns="http://schemas.openxmlformats.org/officeDocument/2006/custom-properties" xmlns:vt="http://schemas.openxmlformats.org/officeDocument/2006/docPropsVTypes"/>
</file>