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F5C3F"/>
          <w:sz w:val="34"/>
          <w:szCs w:val="34"/>
        </w:rPr>
        <w:t xml:space="preserve">What-If Scenario Analysis for Agricultural Procurement: An Explainable Simulation Engine for Supply Shocks</w:t>
      </w:r>
    </w:p>
    <w:p>
      <w:pPr>
        <w:spacing w:after="40"/>
        <w:jc w:val="center"/>
      </w:pPr>
      <w:r>
        <w:rPr>
          <w:i/>
          <w:iCs/>
          <w:color w:val="5B6B60"/>
          <w:sz w:val="19"/>
          <w:szCs w:val="19"/>
        </w:rPr>
        <w:t xml:space="preserve">Member 1 sub-study · AI-Powered Agricultural Procurement Decision Support System</w:t>
      </w:r>
    </w:p>
    <w:p>
      <w:pPr>
        <w:spacing w:after="20"/>
        <w:jc w:val="center"/>
      </w:pPr>
      <w:r>
        <w:rPr>
          <w:color w:val="6B7280"/>
          <w:sz w:val="20"/>
          <w:szCs w:val="20"/>
        </w:rPr>
        <w:t xml:space="preserve">Author(s): ______________________      Date: ______________</w:t>
      </w:r>
    </w:p>
    <w:p>
      <w:pPr>
        <w:pBdr>
          <w:top w:val="single" w:color="8A5A00" w:sz="6"/>
          <w:bottom w:val="single" w:color="8A5A00" w:sz="6"/>
        </w:pBdr>
        <w:spacing w:after="160" w:before="120"/>
        <w:jc w:val="center"/>
      </w:pPr>
      <w:r>
        <w:rPr>
          <w:color w:val="8A5A00"/>
          <w:sz w:val="17"/>
          <w:szCs w:val="17"/>
        </w:rPr>
        <w:t xml:space="preserve">Target: Δ price / volume / risk under supply scenarios   ·   Task: Counterfactual simulation on trained models   ·   Model: LightGBM price surrogate + scenario engine (integrates M2/M3/M6)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Abstract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150–200 words. State: the procurement problem, the dataset, your model, the headline result vs the baseline, and one SHAP insight (which feature drives your target and in which direction).</w:t>
      </w:r>
    </w:p>
    <w:p>
      <w:pPr>
        <w:pBdr>
          <w:top w:val="single" w:color="D5DED8" w:sz="4"/>
          <w:bottom w:val="single" w:color="D5DED8" w:sz="4"/>
          <w:left w:val="single" w:color="D5DED8" w:sz="4"/>
          <w:right w:val="single" w:color="D5DED8" w:sz="4"/>
        </w:pBdr>
        <w:spacing w:after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1. Introduction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2–4 short paragraphs: the procurement decision this helps, your specific objective, and your contribution.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Objective (pre-filled):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Estimate how supply shocks (e.g. India imports −30%, Local supply +20%) change predicted procurement price, volume and risk, and explain the change.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2. Background &amp; Related Work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Half a page: gradient-boosted trees for tabular data, SHAP for explainability, and why deep learning is not used at this data scale. Cite 3–5 sources.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3. Data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This study uses the shared cleaned dataset </w:t>
      </w:r>
      <w:r>
        <w:rPr>
          <w:rFonts w:ascii="Consolas" w:cs="Consolas" w:eastAsia="Consolas" w:hAnsi="Consolas"/>
          <w:color w:val="1F2A37"/>
          <w:sz w:val="20"/>
          <w:szCs w:val="20"/>
        </w:rPr>
        <w:t xml:space="preserve">all_months_clean.csv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consolidated from a Nepali wholesale market workbook of 10 monthly sheets (Shrawan 2082 – Baishakh 2083). After cleaning it holds 798 rows: up to 102 products (vegetables and fruit) × 10 months, with a fixed schema of 36 canonical supply-origin columns, price and volume measures, and helper flags. Details of the cleaning are in the team Data Audit report.</w:t>
      </w:r>
    </w:p>
    <w:p>
      <w:pPr>
        <w:pBdr>
          <w:left w:val="single" w:color="8A5A00" w:sz="14" w:space="6"/>
        </w:pBdr>
        <w:shd w:fill="FBFBEF" w:color="auto" w:val="clear"/>
        <w:spacing w:after="80"/>
        <w:ind w:left="120"/>
      </w:pPr>
      <w:r>
        <w:rPr>
          <w:i/>
          <w:iCs/>
          <w:color w:val="7A5A10"/>
          <w:sz w:val="20"/>
          <w:szCs w:val="20"/>
        </w:rPr>
        <w:t xml:space="preserve">Cite the Data Audit report and state the dataset version you used. If you used the balanced panel (is_balanced == True: 48 products × 10 months = 480 rows), say so.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Leakage controls: </w:t>
      </w:r>
      <w:r>
        <w:rPr>
          <w:rFonts w:ascii="Consolas" w:cs="Consolas" w:eastAsia="Consolas" w:hAnsi="Consolas"/>
          <w:color w:val="1F2A37"/>
          <w:sz w:val="20"/>
          <w:szCs w:val="20"/>
        </w:rPr>
        <w:t xml:space="preserve">Total_Amount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(= Volume × Avg_Price) is excluded from every model; same-period supply columns are never used to predict the same month's volume; features for next-month targets come only from month t and earlier.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4. Methodology</w:t>
      </w:r>
    </w:p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4.1 Problem formulation &amp; framing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Framing (pre-filled):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Perturb the current month's source volumes, recompute derived features (shares, import_share, TOTAL_sources), re-predict price/volume/risk, and report the delta versus the unshocked baseline.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State the exact target column(s) and how you build it (e.g. groupby('Product_Name').shift(-1) using month_idx order).</w:t>
      </w:r>
    </w:p>
    <w:tbl>
      <w:tblPr>
        <w:tblW w:type="dxa" w:w="9026"/>
        <w:tblBorders>
          <w:top w:val="single" w:color="8A5A00" w:sz="6"/>
          <w:left w:val="single" w:color="8A5A00" w:sz="22"/>
          <w:bottom w:val="single" w:color="8A5A00" w:sz="6"/>
          <w:right w:val="single" w:color="8A5A00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State the causal caveat</w:t>
            </w:r>
          </w:p>
          <w:p>
            <w:pPr>
              <w:spacing w:after="0" w:line="274"/>
            </w:pPr>
            <w:r>
              <w:rPr>
                <w:rFonts w:ascii="Calibri" w:cs="Calibri" w:eastAsia="Calibri" w:hAnsi="Calibri"/>
                <w:color w:val="1F2A37"/>
                <w:sz w:val="22"/>
                <w:szCs w:val="22"/>
              </w:rPr>
              <w:t xml:space="preserve">This is a correlational simulator, not proof of cause: it assumes the historical price–supply relationship holds and other factors stay fixed. Phrase results as 'the model expects…', not 'this will cause…'.</w:t>
            </w:r>
          </w:p>
        </w:tc>
      </w:tr>
    </w:tbl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4.2 Features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Include (pre-filled):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raw canonical source volumes (India, China, Local, districts), Product_Name, Category, Unit, season.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Exclude (leakage):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Total_Amount.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Paste your final feature list (or reference the appendix).</w:t>
      </w:r>
    </w:p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4.3 Model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Model (pre-filled):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LightGBM price surrogate + scenario engine (integrates M2/M3/M6).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Train the price surrogate on raw supply; volume under a shock follows mechanically from the changed sources; risk comes from Member 6's model.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Report your hyper-parameters and how you selected them.</w:t>
      </w:r>
    </w:p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4.4 Training &amp; time-based validation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Split by time: train month_idx ≤ 8, validate = 9, test = 10 (or expanding-window CV). No random shuffling.</w:t>
      </w:r>
    </w:p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4.5 Evaluation metrics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Surrogate accuracy: MAE/RMSE/R² on the test month. Scenario outputs: per-product and per-Category Δprice, Δvolume, Δrisk, ranked by sensitivity.</w:t>
      </w:r>
    </w:p>
    <w:p>
      <w:pPr>
        <w:pStyle w:val="Heading3"/>
        <w:keepNext/>
        <w:spacing w:after="110" w:before="180"/>
      </w:pPr>
      <w:r>
        <w:rPr>
          <w:b/>
          <w:bCs/>
          <w:color w:val="1F2A37"/>
          <w:sz w:val="22"/>
          <w:szCs w:val="22"/>
        </w:rPr>
        <w:t xml:space="preserve">4.6 Explainability (SHAP)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Model behaviour is explained with SHAP (Shapley Additive Explanations) using a TreeExplainer on the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test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month. Four artefacts are reported: a global importance bar plot, a beeswarm summary, a dependence plot for the key driver, and a local waterfall for one example. SHAP is treated as a core result, not an appendix.</w:t>
      </w:r>
    </w:p>
    <w:p>
      <w:pPr>
        <w:pBdr>
          <w:left w:val="single" w:color="8A5A00" w:sz="14" w:space="6"/>
        </w:pBdr>
        <w:shd w:fill="FBFBEF" w:color="auto" w:val="clear"/>
        <w:spacing w:after="80"/>
        <w:ind w:left="120"/>
      </w:pPr>
      <w:r>
        <w:rPr>
          <w:i/>
          <w:iCs/>
          <w:color w:val="7A5A10"/>
          <w:sz w:val="20"/>
          <w:szCs w:val="20"/>
        </w:rPr>
        <w:t xml:space="preserve">State the shap version and confirm you explained the test set, not the training set.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5. Results</w:t>
      </w:r>
    </w:p>
    <w:p>
      <w:pPr>
        <w:pStyle w:val="Heading2"/>
        <w:keepNext/>
        <w:spacing w:after="110" w:before="180"/>
      </w:pPr>
      <w:r>
        <w:rPr>
          <w:b/>
          <w:bCs/>
          <w:color w:val="1F2A37"/>
          <w:sz w:val="24"/>
          <w:szCs w:val="24"/>
        </w:rPr>
        <w:t xml:space="preserve">5.1 Performance vs baselines</w:t>
      </w:r>
    </w:p>
    <w:tbl>
      <w:tblPr>
        <w:tblW w:type="dxa" w:w="8026"/>
        <w:tblBorders>
          <w:top w:val="single" w:color="B8C4BC" w:sz="4"/>
          <w:left w:val="single" w:color="B8C4BC" w:sz="4"/>
          <w:bottom w:val="single" w:color="B8C4BC" w:sz="4"/>
          <w:right w:val="single" w:color="B8C4BC" w:sz="4"/>
          <w:insideH w:val="single" w:color="D5DED8" w:sz="2"/>
          <w:insideV w:val="single" w:color="D5DED8" w:sz="2"/>
        </w:tblBorders>
      </w:tblPr>
      <w:tblGrid>
        <w:gridCol w:w="2400"/>
        <w:gridCol w:w="1200"/>
        <w:gridCol w:w="1200"/>
        <w:gridCol w:w="1200"/>
        <w:gridCol w:w="1200"/>
        <w:gridCol w:w="826"/>
      </w:tblGrid>
      <w:tr>
        <w:trPr>
          <w:tblHeader/>
        </w:trPr>
        <w:tc>
          <w:tcPr>
            <w:tcW w:type="dxa" w:w="2400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 / target</w:t>
            </w:r>
          </w:p>
        </w:tc>
        <w:tc>
          <w:tcPr>
            <w:tcW w:type="dxa" w:w="1200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200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200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MAPE</w:t>
            </w:r>
          </w:p>
        </w:tc>
        <w:tc>
          <w:tcPr>
            <w:tcW w:type="dxa" w:w="1200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826"/>
            <w:shd w:fill="1F5C3F" w:color="auto" w:val="clear"/>
            <w:tcMar>
              <w:top w:type="dxa" w:w="66"/>
              <w:left w:type="dxa" w:w="90"/>
              <w:bottom w:type="dxa" w:w="66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Δ vs base</w:t>
            </w:r>
          </w:p>
        </w:tc>
      </w:tr>
      <w:tr>
        <w:tc>
          <w:tcPr>
            <w:tcW w:type="dxa" w:w="2400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 w:val="false"/>
                <w:iCs w:val="false"/>
                <w:color w:val="1F2A37"/>
                <w:sz w:val="18"/>
                <w:szCs w:val="18"/>
              </w:rPr>
              <w:t xml:space="preserve">Price surrogate</w:t>
            </w:r>
          </w:p>
        </w:tc>
        <w:tc>
          <w:tcPr>
            <w:tcW w:type="dxa" w:w="1200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826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2400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 w:val="false"/>
                <w:iCs w:val="false"/>
                <w:color w:val="1F2A37"/>
                <w:sz w:val="18"/>
                <w:szCs w:val="18"/>
              </w:rPr>
              <w:t xml:space="preserve">Baseline (last-value)</w:t>
            </w:r>
          </w:p>
        </w:tc>
        <w:tc>
          <w:tcPr>
            <w:tcW w:type="dxa" w:w="1200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[  ]</w:t>
            </w:r>
          </w:p>
        </w:tc>
        <w:tc>
          <w:tcPr>
            <w:tcW w:type="dxa" w:w="1200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 w:val="false"/>
                <w:iCs w:val="false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826"/>
            <w:shd w:fill="EAF1EC" w:color="auto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r>
              <w:rPr>
                <w:i w:val="false"/>
                <w:iCs w:val="false"/>
                <w:color w:val="1F2A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Fill the table with your test-month numbers and state clearly whether you beat the baseline.</w:t>
      </w:r>
    </w:p>
    <w:p>
      <w:pPr>
        <w:pStyle w:val="Heading2"/>
        <w:keepNext/>
        <w:spacing w:after="110" w:before="180"/>
      </w:pPr>
      <w:r>
        <w:rPr>
          <w:b/>
          <w:bCs/>
          <w:color w:val="1F2A37"/>
          <w:sz w:val="24"/>
          <w:szCs w:val="24"/>
        </w:rPr>
        <w:t xml:space="preserve">5.2 Explainability (SHAP)</w:t>
      </w:r>
    </w:p>
    <w:tbl>
      <w:tblPr>
        <w:tblW w:type="dxa" w:w="9026"/>
        <w:tblBorders>
          <w:top w:val="dashed" w:color="B8C4BC" w:sz="6"/>
          <w:left w:val="dashed" w:color="B8C4BC" w:sz="6"/>
          <w:bottom w:val="dashed" w:color="B8C4BC" w:sz="6"/>
          <w:right w:val="dashed" w:color="B8C4BC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</w:tcPr>
          <w:p>
            <w:pPr>
              <w:spacing w:after="260" w:before="26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 paste SHAP plot here ]</w:t>
            </w:r>
          </w:p>
        </w:tc>
      </w:tr>
    </w:tbl>
    <w:p>
      <w:pPr>
        <w:spacing w:after="60" w:before="40"/>
      </w:pPr>
      <w:r>
        <w:rPr>
          <w:i/>
          <w:iCs/>
          <w:color w:val="1F2A37"/>
          <w:sz w:val="18"/>
          <w:szCs w:val="18"/>
        </w:rPr>
        <w:t xml:space="preserve">Figure 1. Global SHAP importance (mean |SHAP|).</w:t>
      </w:r>
      <w:r>
        <w:rPr>
          <w:i/>
          <w:iCs/>
          <w:color w:val="6B7280"/>
          <w:sz w:val="18"/>
          <w:szCs w:val="18"/>
        </w:rPr>
        <w:t xml:space="preserve">  [interpret in 3–5 sentences below]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Which features matter most, and does that make domain sense?</w:t>
      </w:r>
    </w:p>
    <w:tbl>
      <w:tblPr>
        <w:tblW w:type="dxa" w:w="9026"/>
        <w:tblBorders>
          <w:top w:val="dashed" w:color="B8C4BC" w:sz="6"/>
          <w:left w:val="dashed" w:color="B8C4BC" w:sz="6"/>
          <w:bottom w:val="dashed" w:color="B8C4BC" w:sz="6"/>
          <w:right w:val="dashed" w:color="B8C4BC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</w:tcPr>
          <w:p>
            <w:pPr>
              <w:spacing w:after="260" w:before="26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 paste SHAP plot here ]</w:t>
            </w:r>
          </w:p>
        </w:tc>
      </w:tr>
    </w:tbl>
    <w:p>
      <w:pPr>
        <w:spacing w:after="60" w:before="40"/>
      </w:pPr>
      <w:r>
        <w:rPr>
          <w:i/>
          <w:iCs/>
          <w:color w:val="1F2A37"/>
          <w:sz w:val="18"/>
          <w:szCs w:val="18"/>
        </w:rPr>
        <w:t xml:space="preserve">Figure 2. SHAP beeswarm — direction and spread.</w:t>
      </w:r>
      <w:r>
        <w:rPr>
          <w:i/>
          <w:iCs/>
          <w:color w:val="6B7280"/>
          <w:sz w:val="18"/>
          <w:szCs w:val="18"/>
        </w:rPr>
        <w:t xml:space="preserve">  [interpret in 3–5 sentences below]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For the top drivers, does a high value push the prediction up or down?</w:t>
      </w:r>
    </w:p>
    <w:tbl>
      <w:tblPr>
        <w:tblW w:type="dxa" w:w="9026"/>
        <w:tblBorders>
          <w:top w:val="dashed" w:color="B8C4BC" w:sz="6"/>
          <w:left w:val="dashed" w:color="B8C4BC" w:sz="6"/>
          <w:bottom w:val="dashed" w:color="B8C4BC" w:sz="6"/>
          <w:right w:val="dashed" w:color="B8C4BC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</w:tcPr>
          <w:p>
            <w:pPr>
              <w:spacing w:after="260" w:before="26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 paste SHAP plot here ]</w:t>
            </w:r>
          </w:p>
        </w:tc>
      </w:tr>
    </w:tbl>
    <w:p>
      <w:pPr>
        <w:spacing w:after="60" w:before="40"/>
      </w:pPr>
      <w:r>
        <w:rPr>
          <w:i/>
          <w:iCs/>
          <w:color w:val="1F2A37"/>
          <w:sz w:val="18"/>
          <w:szCs w:val="18"/>
        </w:rPr>
        <w:t xml:space="preserve">Figure 3. SHAP dependence — India (or import_share).</w:t>
      </w:r>
      <w:r>
        <w:rPr>
          <w:i/>
          <w:iCs/>
          <w:color w:val="6B7280"/>
          <w:sz w:val="18"/>
          <w:szCs w:val="18"/>
        </w:rPr>
        <w:t xml:space="preserve">  [interpret in 3–5 sentences below]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Describe the shape of the effect and any interaction.</w:t>
      </w:r>
    </w:p>
    <w:tbl>
      <w:tblPr>
        <w:tblW w:type="dxa" w:w="9026"/>
        <w:tblBorders>
          <w:top w:val="dashed" w:color="B8C4BC" w:sz="6"/>
          <w:left w:val="dashed" w:color="B8C4BC" w:sz="6"/>
          <w:bottom w:val="dashed" w:color="B8C4BC" w:sz="6"/>
          <w:right w:val="dashed" w:color="B8C4BC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</w:tcPr>
          <w:p>
            <w:pPr>
              <w:spacing w:after="260" w:before="26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[ paste SHAP plot here ]</w:t>
            </w:r>
          </w:p>
        </w:tc>
      </w:tr>
    </w:tbl>
    <w:p>
      <w:pPr>
        <w:spacing w:after="60" w:before="40"/>
      </w:pPr>
      <w:r>
        <w:rPr>
          <w:i/>
          <w:iCs/>
          <w:color w:val="1F2A37"/>
          <w:sz w:val="18"/>
          <w:szCs w:val="18"/>
        </w:rPr>
        <w:t xml:space="preserve">Figure 4. Local SHAP waterfall — one example prediction.</w:t>
      </w:r>
      <w:r>
        <w:rPr>
          <w:i/>
          <w:iCs/>
          <w:color w:val="6B7280"/>
          <w:sz w:val="18"/>
          <w:szCs w:val="18"/>
        </w:rPr>
        <w:t xml:space="preserve">  [interpret in 3–5 sentences below]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Walk through one product: which features pushed the prediction, and by how much.</w:t>
      </w:r>
    </w:p>
    <w:p>
      <w:pPr>
        <w:pStyle w:val="Heading2"/>
        <w:keepNext/>
        <w:spacing w:after="110" w:before="180"/>
      </w:pPr>
      <w:r>
        <w:rPr>
          <w:b/>
          <w:bCs/>
          <w:color w:val="1F2A37"/>
          <w:sz w:val="24"/>
          <w:szCs w:val="24"/>
        </w:rPr>
        <w:t xml:space="preserve">5.3 Error analysis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Break error/accuracy down by Category and Unit; list the worst cases and hypothesise why (thin history, unit changes, reconciliation-gap rows).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6. Discussion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What do the model and its SHAP tell the procurement decision? How does your result connect to the other members (e.g. feeds Member 1's what-if engine / Member 6's risk)?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The time axis is only 10 months, so a full annual seasonal cycle cannot be established and temporal generalisation is limited.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SHAP shows the model's associations, not causation.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Extrapolating far outside the historical supply range (e.g. India → 0 for a fully-imported product) is unreliable.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Add any dataset- or model-specific limitations you encountered (e.g. sparse classes, missing Min/Max, reconciliation-gap rows).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8. Conclusion &amp; Future Work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One paragraph: what you achieved (headline metric + key SHAP insight) and one concrete next step.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References</w:t>
      </w:r>
    </w:p>
    <w:p>
      <w:pPr>
        <w:spacing w:after="6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Lundberg, S. M., &amp; Lee, S.-I. (2017). A Unified Approach to Interpreting Model Predictions. NeurIPS.</w:t>
      </w:r>
    </w:p>
    <w:p>
      <w:pPr>
        <w:spacing w:after="6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Ke, G., et al. (2017). LightGBM: A Highly Efficient Gradient Boosting Decision Tree. NeurIPS.</w:t>
      </w:r>
    </w:p>
    <w:p>
      <w:pPr>
        <w:spacing w:after="110" w:line="274"/>
      </w:pPr>
      <w:r>
        <w:rPr>
          <w:i/>
          <w:iCs/>
          <w:color w:val="6B7280"/>
          <w:sz w:val="21"/>
          <w:szCs w:val="21"/>
        </w:rPr>
        <w:t xml:space="preserve">» Add domain references (Nepali agricultural markets, price forecasting studies) and any others you cite.</w:t>
      </w:r>
    </w:p>
    <w:p>
      <w:pPr>
        <w:pStyle w:val="Heading1"/>
        <w:keepNext/>
        <w:spacing w:after="110" w:before="260"/>
      </w:pPr>
      <w:r>
        <w:rPr>
          <w:b/>
          <w:bCs/>
          <w:color w:val="1F5C3F"/>
          <w:sz w:val="28"/>
          <w:szCs w:val="28"/>
        </w:rPr>
        <w:t xml:space="preserve">Appendix — Reproducibility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Final feature list:  </w:t>
      </w:r>
      <w:r>
        <w:rPr>
          <w:color w:val="6B7280"/>
          <w:sz w:val="21"/>
          <w:szCs w:val="21"/>
        </w:rPr>
        <w:t xml:space="preserve">__________________________________________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Model &amp; key hyper-parameters:  </w:t>
      </w:r>
      <w:r>
        <w:rPr>
          <w:color w:val="6B7280"/>
          <w:sz w:val="21"/>
          <w:szCs w:val="21"/>
        </w:rPr>
        <w:t xml:space="preserve">__________________________________________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Random seed: 42     Train/valid/test:  </w:t>
      </w:r>
      <w:r>
        <w:rPr>
          <w:color w:val="6B7280"/>
          <w:sz w:val="21"/>
          <w:szCs w:val="21"/>
        </w:rPr>
        <w:t xml:space="preserve">__________________________________________</w:t>
      </w:r>
    </w:p>
    <w:p>
      <w:pPr>
        <w:spacing w:after="110" w:line="274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How to run: load </w:t>
      </w:r>
      <w:r>
        <w:rPr>
          <w:rFonts w:ascii="Consolas" w:cs="Consolas" w:eastAsia="Consolas" w:hAnsi="Consolas"/>
          <w:color w:val="1F2A37"/>
          <w:sz w:val="20"/>
          <w:szCs w:val="20"/>
        </w:rPr>
        <w:t xml:space="preserve">all_months_clean.csv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build features, apply the time split, train, evaluate, and generate SHAP — as in the member guide.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A8F"/>
        <w:sz w:val="16"/>
        <w:szCs w:val="16"/>
      </w:rPr>
      <w:t xml:space="preserve">Member 1 · What-If Scenario Engine — report template · </w:t>
    </w:r>
    <w:r>
      <w:rPr>
        <w:color w:val="8A9A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1 report template</dc:title>
  <dc:creator>Agri-ML Procurement DSS</dc:creator>
  <cp:lastModifiedBy>Un-named</cp:lastModifiedBy>
  <cp:revision>1</cp:revision>
  <dcterms:created xsi:type="dcterms:W3CDTF">2026-07-16T19:44:30.549Z</dcterms:created>
  <dcterms:modified xsi:type="dcterms:W3CDTF">2026-07-16T19:44:30.568Z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