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2D84F2D8" w:rsidR="00E370AF" w:rsidRDefault="00453F62">
            <w:r>
              <w:t>25</w:t>
            </w:r>
            <w:r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4F943A0" w:rsidR="00E370AF" w:rsidRDefault="00D173C9">
            <w:r w:rsidRPr="00D173C9">
              <w:t>LTVIP2025TMID47668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6ACC13CB" w:rsidR="00E370AF" w:rsidRDefault="00D173C9">
            <w:proofErr w:type="spellStart"/>
            <w:r w:rsidRPr="00D173C9">
              <w:t>ToyCraft</w:t>
            </w:r>
            <w:proofErr w:type="spellEnd"/>
            <w:r w:rsidRPr="00D173C9">
              <w:t xml:space="preserve"> Tales: Tableau's vision into toy manufacturer data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38C34923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r w:rsidR="00D173C9">
        <w:rPr>
          <w:rFonts w:ascii="Arial" w:eastAsia="Arial" w:hAnsi="Arial" w:cs="Arial"/>
          <w:color w:val="000000"/>
          <w:sz w:val="24"/>
          <w:szCs w:val="24"/>
        </w:rPr>
        <w:t>behaviour</w:t>
      </w:r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2B3DB86C" w14:textId="36D99011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9D8C738" w14:textId="66C6E5A6" w:rsidR="00E370AF" w:rsidRDefault="00D173C9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650AF6B1" wp14:editId="5DDF452F">
            <wp:extent cx="5731510" cy="3134995"/>
            <wp:effectExtent l="0" t="0" r="2540" b="8255"/>
            <wp:docPr id="76016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596E136F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F669682-08ED-4132-953E-C15412A2D5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4663637-BA9E-450B-B20A-C52C241D2D59}"/>
    <w:embedBold r:id="rId3" w:fontKey="{996A62E8-8EAC-4B68-AD5C-DF70E0960D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2869E4A-20B7-4A95-AE1E-65005346CAD9}"/>
    <w:embedItalic r:id="rId5" w:fontKey="{CC661423-0B45-4491-90BC-6F69CD51B5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D13467DB-38C5-473B-959B-50A40F3FFD3D}"/>
    <w:embedItalic r:id="rId7" w:fontKey="{4F39B0DC-B689-4B6C-8AD8-13C273D05B7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1FFEBD0-3117-430A-9459-3B5D168895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53F62"/>
    <w:rsid w:val="00862077"/>
    <w:rsid w:val="00BE4408"/>
    <w:rsid w:val="00D173C9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asritha chandra</cp:lastModifiedBy>
  <cp:revision>4</cp:revision>
  <dcterms:created xsi:type="dcterms:W3CDTF">2022-10-03T08:27:00Z</dcterms:created>
  <dcterms:modified xsi:type="dcterms:W3CDTF">2025-06-25T14:15:00Z</dcterms:modified>
</cp:coreProperties>
</file>