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3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3582" w:firstLine="0"/>
        <w:jc w:val="right"/>
      </w:pPr>
      <w:r>
        <w:rPr>
          <w:rFonts w:ascii="Verdana" w:hAnsi="Verdana" w:eastAsia="Verdana"/>
          <w:b/>
          <w:i w:val="0"/>
          <w:color w:val="000000"/>
          <w:sz w:val="20"/>
        </w:rPr>
        <w:t>PES319:SOFT SKILLS-II</w:t>
      </w:r>
    </w:p>
    <w:p>
      <w:pPr>
        <w:autoSpaceDN w:val="0"/>
        <w:autoSpaceDE w:val="0"/>
        <w:widowControl/>
        <w:spacing w:line="197" w:lineRule="auto" w:before="174" w:after="0"/>
        <w:ind w:left="0" w:right="470" w:firstLine="0"/>
        <w:jc w:val="right"/>
      </w:pP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L:1   T:2   P:0    Credits:3 </w:t>
      </w:r>
    </w:p>
    <w:p>
      <w:pPr>
        <w:autoSpaceDN w:val="0"/>
        <w:tabs>
          <w:tab w:pos="1932" w:val="left"/>
        </w:tabs>
        <w:autoSpaceDE w:val="0"/>
        <w:widowControl/>
        <w:spacing w:line="223" w:lineRule="auto" w:before="316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 xml:space="preserve">Course Outcomes: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16"/>
        </w:rPr>
        <w:t>Through this course students should be able to</w:t>
      </w:r>
    </w:p>
    <w:p>
      <w:pPr>
        <w:autoSpaceDN w:val="0"/>
        <w:autoSpaceDE w:val="0"/>
        <w:widowControl/>
        <w:spacing w:line="245" w:lineRule="auto" w:before="220" w:after="0"/>
        <w:ind w:left="1334" w:right="432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CO1 :: explain the concept, significance, and role of KYC in ensuring credibility and readiness for </w:t>
      </w:r>
      <w:r>
        <w:rPr>
          <w:rFonts w:ascii="Verdana" w:hAnsi="Verdana" w:eastAsia="Verdana"/>
          <w:b w:val="0"/>
          <w:i w:val="0"/>
          <w:color w:val="000000"/>
          <w:sz w:val="16"/>
        </w:rPr>
        <w:t>digital portfolios and placements.</w:t>
      </w:r>
    </w:p>
    <w:p>
      <w:pPr>
        <w:autoSpaceDN w:val="0"/>
        <w:autoSpaceDE w:val="0"/>
        <w:widowControl/>
        <w:spacing w:line="245" w:lineRule="auto" w:before="174" w:after="0"/>
        <w:ind w:left="1334" w:right="72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CO2 :: demonstrate correct pronunciation, syllable stress, and intonation patterns in spoken </w:t>
      </w:r>
      <w:r>
        <w:rPr>
          <w:rFonts w:ascii="Verdana" w:hAnsi="Verdana" w:eastAsia="Verdana"/>
          <w:b w:val="0"/>
          <w:i w:val="0"/>
          <w:color w:val="000000"/>
          <w:sz w:val="16"/>
        </w:rPr>
        <w:t>communication</w:t>
      </w:r>
    </w:p>
    <w:p>
      <w:pPr>
        <w:autoSpaceDN w:val="0"/>
        <w:autoSpaceDE w:val="0"/>
        <w:widowControl/>
        <w:spacing w:line="245" w:lineRule="auto" w:before="168" w:after="0"/>
        <w:ind w:left="1334" w:right="72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CO3 :: apply appropriate scripting, framing, lighting, and background principles to produce a </w:t>
      </w:r>
      <w:r>
        <w:rPr>
          <w:rFonts w:ascii="Verdana" w:hAnsi="Verdana" w:eastAsia="Verdana"/>
          <w:b w:val="0"/>
          <w:i w:val="0"/>
          <w:color w:val="000000"/>
          <w:sz w:val="16"/>
        </w:rPr>
        <w:t>clear and professional video CV.</w:t>
      </w:r>
    </w:p>
    <w:p>
      <w:pPr>
        <w:autoSpaceDN w:val="0"/>
        <w:autoSpaceDE w:val="0"/>
        <w:widowControl/>
        <w:spacing w:line="245" w:lineRule="auto" w:before="136" w:after="0"/>
        <w:ind w:left="1334" w:right="576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CO4 :: formulate confident, role-specific interview responses aligned with job descriptions and </w:t>
      </w:r>
      <w:r>
        <w:rPr>
          <w:rFonts w:ascii="Verdana" w:hAnsi="Verdana" w:eastAsia="Verdana"/>
          <w:b w:val="0"/>
          <w:i w:val="0"/>
          <w:color w:val="000000"/>
          <w:sz w:val="16"/>
        </w:rPr>
        <w:t>organizational expectations</w:t>
      </w:r>
    </w:p>
    <w:p>
      <w:pPr>
        <w:autoSpaceDN w:val="0"/>
        <w:autoSpaceDE w:val="0"/>
        <w:widowControl/>
        <w:spacing w:line="245" w:lineRule="auto" w:before="164" w:after="0"/>
        <w:ind w:left="1334" w:right="432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CO5 :: apply logical reasoning, relevant examples, and structured arguments while contributing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to group discussions </w:t>
      </w:r>
    </w:p>
    <w:p>
      <w:pPr>
        <w:autoSpaceDN w:val="0"/>
        <w:autoSpaceDE w:val="0"/>
        <w:widowControl/>
        <w:spacing w:line="245" w:lineRule="auto" w:before="154" w:after="0"/>
        <w:ind w:left="1334" w:right="576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CO6 :: demonstrate ethical conduct, professionalism, and responsibility in simulated workplace </w:t>
      </w:r>
      <w:r>
        <w:rPr>
          <w:rFonts w:ascii="Verdana" w:hAnsi="Verdana" w:eastAsia="Verdana"/>
          <w:b w:val="0"/>
          <w:i w:val="0"/>
          <w:color w:val="000000"/>
          <w:sz w:val="16"/>
        </w:rPr>
        <w:t>and placement scenarios.</w:t>
      </w:r>
    </w:p>
    <w:p>
      <w:pPr>
        <w:autoSpaceDN w:val="0"/>
        <w:autoSpaceDE w:val="0"/>
        <w:widowControl/>
        <w:spacing w:line="197" w:lineRule="auto" w:before="294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Unit I</w:t>
      </w:r>
    </w:p>
    <w:p>
      <w:pPr>
        <w:autoSpaceDN w:val="0"/>
        <w:autoSpaceDE w:val="0"/>
        <w:widowControl/>
        <w:spacing w:line="245" w:lineRule="auto" w:before="58" w:after="0"/>
        <w:ind w:left="133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KYC and Digital Portfolio Design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: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understanding the importance of KYC, elements of KYC,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platform skills, recap of professional grooming, key components of effective portfolio design, tools for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portfolio creation (Netlify, Vercel, WordPress, Wix), uploading and verification of portfolio link on the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placement portal, CV mapping with KYC, specialized CV customization, and approval on the placement </w:t>
      </w:r>
      <w:r>
        <w:rPr>
          <w:rFonts w:ascii="Verdana" w:hAnsi="Verdana" w:eastAsia="Verdana"/>
          <w:b w:val="0"/>
          <w:i w:val="0"/>
          <w:color w:val="000000"/>
          <w:sz w:val="16"/>
        </w:rPr>
        <w:t>portal</w:t>
      </w:r>
    </w:p>
    <w:p>
      <w:pPr>
        <w:autoSpaceDN w:val="0"/>
        <w:autoSpaceDE w:val="0"/>
        <w:widowControl/>
        <w:spacing w:line="197" w:lineRule="auto" w:before="116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Unit II</w:t>
      </w:r>
    </w:p>
    <w:p>
      <w:pPr>
        <w:autoSpaceDN w:val="0"/>
        <w:autoSpaceDE w:val="0"/>
        <w:widowControl/>
        <w:spacing w:line="245" w:lineRule="auto" w:before="56" w:after="0"/>
        <w:ind w:left="133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Effective Vocal Communication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: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introduction to essential vocal elements, including pace, pause,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voice, tone, volume, and stress; identification and correction of commonly mispronounced words;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understanding and applying intonation patterns; application of vocal techniques; correct pronunciation </w:t>
      </w:r>
      <w:r>
        <w:rPr>
          <w:rFonts w:ascii="Verdana" w:hAnsi="Verdana" w:eastAsia="Verdana"/>
          <w:b w:val="0"/>
          <w:i w:val="0"/>
          <w:color w:val="000000"/>
          <w:sz w:val="16"/>
        </w:rPr>
        <w:t>through exercises; and communication practice through AI tools (Microsoft Presenter Coach).</w:t>
      </w:r>
    </w:p>
    <w:p>
      <w:pPr>
        <w:autoSpaceDN w:val="0"/>
        <w:autoSpaceDE w:val="0"/>
        <w:widowControl/>
        <w:spacing w:line="197" w:lineRule="auto" w:before="114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Unit III</w:t>
      </w:r>
    </w:p>
    <w:p>
      <w:pPr>
        <w:autoSpaceDN w:val="0"/>
        <w:autoSpaceDE w:val="0"/>
        <w:widowControl/>
        <w:spacing w:line="245" w:lineRule="auto" w:before="58" w:after="0"/>
        <w:ind w:left="133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Video CV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: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importance of video CV, elements of video CV, tips to write an effective video CV script,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technical setup and virtual elements, delivery and body language, editing, feedback, and final review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as per current video CV assignments in placements, sharing, tracking, and continuous improvement </w:t>
      </w:r>
      <w:r>
        <w:rPr>
          <w:rFonts w:ascii="Verdana" w:hAnsi="Verdana" w:eastAsia="Verdana"/>
          <w:b w:val="0"/>
          <w:i w:val="0"/>
          <w:color w:val="000000"/>
          <w:sz w:val="16"/>
        </w:rPr>
        <w:t>with AI tools (Hirevue, Vmock, Reziai)</w:t>
      </w:r>
    </w:p>
    <w:p>
      <w:pPr>
        <w:autoSpaceDN w:val="0"/>
        <w:autoSpaceDE w:val="0"/>
        <w:widowControl/>
        <w:spacing w:line="197" w:lineRule="auto" w:before="114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Unit IV</w:t>
      </w:r>
    </w:p>
    <w:p>
      <w:pPr>
        <w:autoSpaceDN w:val="0"/>
        <w:autoSpaceDE w:val="0"/>
        <w:widowControl/>
        <w:spacing w:line="245" w:lineRule="auto" w:before="58" w:after="0"/>
        <w:ind w:left="1334" w:right="144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Interview Skills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: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interview practice through competency-based interviews, situation-based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interviews, and sales-based interviews (rebuttal technique, FAB, need analysis), mapping STAR and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CAR methodology while answering, essentials of virtual interviews, do's and don'ts of virtual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interviews, and immersive training via AI-driven interview simulators (Google Interview Warmup, </w:t>
      </w:r>
      <w:r>
        <w:rPr>
          <w:rFonts w:ascii="Verdana" w:hAnsi="Verdana" w:eastAsia="Verdana"/>
          <w:b w:val="0"/>
          <w:i w:val="0"/>
          <w:color w:val="000000"/>
          <w:sz w:val="16"/>
        </w:rPr>
        <w:t>metaverse)</w:t>
      </w:r>
    </w:p>
    <w:p>
      <w:pPr>
        <w:autoSpaceDN w:val="0"/>
        <w:autoSpaceDE w:val="0"/>
        <w:widowControl/>
        <w:spacing w:line="197" w:lineRule="auto" w:before="114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Unit V</w:t>
      </w:r>
    </w:p>
    <w:p>
      <w:pPr>
        <w:autoSpaceDN w:val="0"/>
        <w:autoSpaceDE w:val="0"/>
        <w:widowControl/>
        <w:spacing w:line="245" w:lineRule="auto" w:before="58" w:after="0"/>
        <w:ind w:left="133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Guided Group Interaction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: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brainstorming on group discussion topics using AI-powered ideation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tools—KWA (ChatGPT, Copilot, Canva AI), SPELT (Gemini, ChatGPT), POPBEANS (ChatGPT, Notion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AI), SCAMPER (Miro AI, FigJam), and VAP (ChatGPT, Perplexity). mock group discussion simulation on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current affairs, social issues, abstract and domain-specific technical topics, avoiding common pitfalls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in group discussion, and virtual group discussion do’s and don’ts. (hands-on training using AI tools </w:t>
      </w:r>
      <w:r>
        <w:rPr>
          <w:rFonts w:ascii="Verdana" w:hAnsi="Verdana" w:eastAsia="Verdana"/>
          <w:b w:val="0"/>
          <w:i w:val="0"/>
          <w:color w:val="000000"/>
          <w:sz w:val="16"/>
        </w:rPr>
        <w:t>Talview, Otter.ai, and Fireflies)</w:t>
      </w:r>
    </w:p>
    <w:p>
      <w:pPr>
        <w:autoSpaceDN w:val="0"/>
        <w:autoSpaceDE w:val="0"/>
        <w:widowControl/>
        <w:spacing w:line="197" w:lineRule="auto" w:before="114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Unit VI</w:t>
      </w:r>
    </w:p>
    <w:p>
      <w:pPr>
        <w:autoSpaceDN w:val="0"/>
        <w:autoSpaceDE w:val="0"/>
        <w:widowControl/>
        <w:spacing w:line="245" w:lineRule="auto" w:before="60" w:after="0"/>
        <w:ind w:left="1334" w:right="144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Workplace Ethics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: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importance of workplace ethics, professional values (integrity, accountability,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and respect), professional behavior in the selection process, importance of email etiquette, meeting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etiquette, efficient time management and decision-making skills, and handling feedback (AI tools, </w:t>
      </w:r>
      <w:r>
        <w:rPr>
          <w:rFonts w:ascii="Verdana" w:hAnsi="Verdana" w:eastAsia="Verdana"/>
          <w:b w:val="0"/>
          <w:i w:val="0"/>
          <w:color w:val="000000"/>
          <w:sz w:val="16"/>
        </w:rPr>
        <w:t>virtual speech, and Yoodli).</w:t>
      </w:r>
    </w:p>
    <w:p>
      <w:pPr>
        <w:autoSpaceDN w:val="0"/>
        <w:tabs>
          <w:tab w:pos="1666" w:val="left"/>
        </w:tabs>
        <w:autoSpaceDE w:val="0"/>
        <w:widowControl/>
        <w:spacing w:line="245" w:lineRule="auto" w:before="384" w:after="0"/>
        <w:ind w:left="0" w:right="432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 xml:space="preserve">References: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16"/>
        </w:rPr>
        <w:t>1</w:t>
      </w:r>
      <w:r>
        <w:rPr>
          <w:rFonts w:ascii="Tahoma" w:hAnsi="Tahoma" w:eastAsia="Tahoma"/>
          <w:b w:val="0"/>
          <w:i w:val="0"/>
          <w:color w:val="000000"/>
          <w:sz w:val="20"/>
        </w:rPr>
        <w:t xml:space="preserve">.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THE ACE OF SOFT SKILLS: ATTITUDE, COMMUNICATION AND ETIQUETTE FOR SUCCESS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by GOPALASWAMY RAMESH AND MAHADEVAN RAMESH, PEARSON </w:t>
      </w:r>
    </w:p>
    <w:p>
      <w:pPr>
        <w:autoSpaceDN w:val="0"/>
        <w:autoSpaceDE w:val="0"/>
        <w:widowControl/>
        <w:spacing w:line="245" w:lineRule="auto" w:before="86" w:after="0"/>
        <w:ind w:left="1666" w:right="1296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6"/>
        </w:rPr>
        <w:t>2</w:t>
      </w:r>
      <w:r>
        <w:rPr>
          <w:rFonts w:ascii="Tahoma" w:hAnsi="Tahoma" w:eastAsia="Tahoma"/>
          <w:b w:val="0"/>
          <w:i w:val="0"/>
          <w:color w:val="000000"/>
          <w:sz w:val="20"/>
        </w:rPr>
        <w:t xml:space="preserve">.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PERSONALITY DEVELOPMENT AND SOFT SKILLS by BARUN K. MITRA, OXFORD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UNIVERSITY PRESS </w:t>
      </w:r>
    </w:p>
    <w:p>
      <w:pPr>
        <w:autoSpaceDN w:val="0"/>
        <w:autoSpaceDE w:val="0"/>
        <w:widowControl/>
        <w:spacing w:line="245" w:lineRule="auto" w:before="88" w:after="0"/>
        <w:ind w:left="1666" w:right="1008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6"/>
        </w:rPr>
        <w:t>3</w:t>
      </w:r>
      <w:r>
        <w:rPr>
          <w:rFonts w:ascii="Tahoma" w:hAnsi="Tahoma" w:eastAsia="Tahoma"/>
          <w:b w:val="0"/>
          <w:i w:val="0"/>
          <w:color w:val="000000"/>
          <w:sz w:val="20"/>
        </w:rPr>
        <w:t xml:space="preserve">.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SOFT SKILLS: KNOW YOURSELF AND KNOW THE WORLD by DR. K. ALEX, S Chand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Publishing </w:t>
      </w:r>
    </w:p>
    <w:p>
      <w:pPr>
        <w:autoSpaceDN w:val="0"/>
        <w:autoSpaceDE w:val="0"/>
        <w:widowControl/>
        <w:spacing w:line="197" w:lineRule="auto" w:before="928" w:after="0"/>
        <w:ind w:left="0" w:right="370" w:firstLine="0"/>
        <w:jc w:val="right"/>
      </w:pPr>
      <w:r>
        <w:rPr>
          <w:rFonts w:ascii="Verdana" w:hAnsi="Verdana" w:eastAsia="Verdana"/>
          <w:b w:val="0"/>
          <w:i w:val="0"/>
          <w:color w:val="000000"/>
          <w:sz w:val="14"/>
        </w:rPr>
        <w:t>Session  2025-26                  Page:1/2</w:t>
      </w:r>
    </w:p>
    <w:p>
      <w:pPr>
        <w:sectPr>
          <w:pgSz w:w="11909" w:h="16834"/>
          <w:pgMar w:top="650" w:right="962" w:bottom="482" w:left="12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7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20" w:firstLine="0"/>
        <w:jc w:val="right"/>
      </w:pPr>
      <w:r>
        <w:rPr>
          <w:rFonts w:ascii="Verdana" w:hAnsi="Verdana" w:eastAsia="Verdana"/>
          <w:b w:val="0"/>
          <w:i w:val="0"/>
          <w:color w:val="000000"/>
          <w:sz w:val="14"/>
        </w:rPr>
        <w:t>Session  2025-26                  Page:2/2</w:t>
      </w:r>
    </w:p>
    <w:sectPr w:rsidR="00FC693F" w:rsidRPr="0006063C" w:rsidSect="00034616">
      <w:pgSz w:w="11909" w:h="16834"/>
      <w:pgMar w:top="1440" w:right="1312" w:bottom="48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