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lenraster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934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de-DE" w:eastAsia="en-US" w:bidi="ar-SA"/>
              </w:rPr>
              <w:t>WiSe 2024/25: Auswertung von Umweltvariablen mit der statistischen Programmiersprache R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98" w:leader="none"/>
              </w:tabs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de-DE" w:eastAsia="en-US" w:bidi="ar-SA"/>
              </w:rPr>
              <w:t>Veranstaltungs-Nr.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de-DE" w:eastAsia="en-US" w:bidi="ar-SA"/>
              </w:rPr>
              <w:t>170163</w:t>
              <w:tab/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98" w:leader="none"/>
              </w:tabs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de-DE" w:eastAsia="en-US" w:bidi="ar-SA"/>
              </w:rPr>
              <w:t>Zeit, Ort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8" w:leader="none"/>
              </w:tabs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de-DE" w:eastAsia="en-US" w:bidi="ar-SA"/>
              </w:rPr>
              <w:t xml:space="preserve">Block, 26.08.-30.08.2024, </w:t>
              <w:br/>
              <w:t>IA 6/151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98" w:leader="none"/>
              </w:tabs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de-DE" w:eastAsia="en-US" w:bidi="ar-SA"/>
              </w:rPr>
              <w:t>Dozent*in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de-DE" w:eastAsia="en-US" w:bidi="ar-SA"/>
              </w:rPr>
              <w:t>Dr. Miguel Alvarez</w:t>
            </w:r>
          </w:p>
        </w:tc>
      </w:tr>
      <w:tr>
        <w:trPr>
          <w:trHeight w:val="253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9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de-DE" w:eastAsia="en-US" w:bidi="ar-SA"/>
              </w:rPr>
              <w:t>Lehrveranstaltungsart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8" w:leader="none"/>
              </w:tabs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de-DE" w:eastAsia="en-US" w:bidi="ar-SA"/>
              </w:rPr>
              <w:t>Bachelor-Wahlpflicht/Wahlfreier Bereich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98" w:leader="none"/>
              </w:tabs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de-DE" w:eastAsia="en-US" w:bidi="ar-SA"/>
              </w:rPr>
              <w:t>Anmeldung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de-DE" w:eastAsia="en-US" w:bidi="ar-SA"/>
              </w:rPr>
              <w:t>Anmeldung vom 10.06.-14.06.2024 internetgestützt über GI-Seite ("Aktuelles")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98" w:leader="none"/>
              </w:tabs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de-DE" w:eastAsia="en-US" w:bidi="ar-SA"/>
              </w:rPr>
              <w:t>Prüfungsform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8" w:leader="none"/>
              </w:tabs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Projektbericht</w:t>
            </w:r>
          </w:p>
        </w:tc>
      </w:tr>
      <w:tr>
        <w:trPr>
          <w:trHeight w:val="253" w:hRule="atLeast"/>
        </w:trPr>
        <w:tc>
          <w:tcPr>
            <w:tcW w:w="934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de-DE" w:eastAsia="en-US" w:bidi="ar-SA"/>
              </w:rPr>
              <w:t>Voraussetzungen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de-DE" w:eastAsia="en-US" w:bidi="ar-SA"/>
              </w:rPr>
              <w:t>keine</w:t>
            </w:r>
          </w:p>
        </w:tc>
      </w:tr>
      <w:tr>
        <w:trPr/>
        <w:tc>
          <w:tcPr>
            <w:tcW w:w="934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de-DE" w:eastAsia="en-US" w:bidi="ar-SA"/>
              </w:rPr>
              <w:t>Zielgruppe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de-DE" w:eastAsia="en-US" w:bidi="ar-SA"/>
              </w:rPr>
              <w:t>B.Sc.- und B.A. – Studierende mit Interesse an den Grundlagen von Geographischen Informationssystemen (GIS) und statistischer Programmierung mit R.</w:t>
            </w:r>
          </w:p>
        </w:tc>
      </w:tr>
      <w:tr>
        <w:trPr/>
        <w:tc>
          <w:tcPr>
            <w:tcW w:w="934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de-DE" w:eastAsia="en-US" w:bidi="ar-SA"/>
              </w:rPr>
              <w:t>Ziele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/>
              <w:t>Die Lernziele dieses Kurses sind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/>
              <w:t>Grundkenntnisse über Datenformate und Geometrien in GIS erwerben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/>
              <w:t>Dokumentation von Routinen in Skripten mit der Programmiersprache R unter Verwendung von RStudio und Quarto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/>
              <w:t>die Konzepte der Reproduzierbarkeit und der literarischen Programmierung einführen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/>
              <w:t>deskriptive Statistiken auf räumlichen Daten mit Hilfe von R-Paketen berechnen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/>
              <w:t>räumliche und nicht-räumliche Daten mit Hilfe von graphics und ggplot2 visualisieren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4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de-DE" w:eastAsia="en-US" w:bidi="ar-SA"/>
              </w:rPr>
              <w:t>Inhalte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Tag 1: Einführung in R und Rstudio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Vorstellungsrunde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R-Syntax und Objekte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Funktionen in RStudio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Dokumentieren mit Quarto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Tag 2: Räumliche Vektoren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Import/Export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Umwandlung von Koordinaten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Visualisieren von Attributen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Tag 3: Raster-Datensätze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Import/Export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Berechnungen mit Rasters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Vektoren in Raster umwandeln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Tag 4: Berechnungen und Modellen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Regression und Klassifikationsmodelle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Landschaftsindikatoren mit moving windows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Diskussion von Projekten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Tag 5: Weitere Übungen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Offene Fragen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Diskussion von Szenarien der Anwendung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Schluss (Glad-Sad-Mad)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934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de-DE" w:eastAsia="en-US" w:bidi="ar-SA"/>
              </w:rPr>
              <w:t>Aufbau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de-DE" w:eastAsia="en-US" w:bidi="ar-SA"/>
              </w:rPr>
              <w:t>Jeder Tag beginnt mit einer Einführung in Form eines Impulsvortrags, der die Theorie vermittelt. In einem gemeinsamen Online-Dokument (Etherpad) werden Kommentare und Fragen gesammelt. Praktische Ansätze werden gemeinsam mit den Studenten durch „life coding“ entwickelt. Die Nachmittage sind praktischen Übungen und der Vorbereitung eines Projekts gewidmet.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253" w:hRule="atLeast"/>
        </w:trPr>
        <w:tc>
          <w:tcPr>
            <w:tcW w:w="934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Arial" w:cs="Arial"/>
                <w:b/>
                <w:kern w:val="0"/>
                <w:sz w:val="22"/>
                <w:szCs w:val="22"/>
                <w:lang w:val="de-DE" w:eastAsia="en-US" w:bidi="ar-SA"/>
              </w:rPr>
              <w:t>Literatur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  <w:t>Heinrich, Dieter, and Manfred Hergt. 2006. Dtv-Atlas Erde, Physische Geographie: Physische Geographie. Edited by Rudolf Fahnert. Orig.-Ausg., 1. Aufl. Dtv 3329. München: DTV Deutscher Taschenbuch.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color w:val="auto"/>
              </w:rPr>
              <w:t xml:space="preserve">Hengl, Tomislav. 2009. A Practical Guide to Geostatistical Mapping of Environmental Variables. Amsterdam. </w:t>
            </w:r>
            <w:hyperlink r:id="rId2">
              <w:r>
                <w:rPr>
                  <w:rStyle w:val="InternetLink"/>
                  <w:color w:val="auto"/>
                </w:rPr>
                <w:t>https://publications.jrc.ec.europa.eu/repository/handle/JRC38153</w:t>
              </w:r>
            </w:hyperlink>
            <w:hyperlink r:id="rId3">
              <w:r>
                <w:rPr>
                  <w:color w:val="auto"/>
                </w:rPr>
                <w:t>.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Hengl, Tomislav, and Robert A. MacMillan. 2018. Predictive Soil Mapping with r. Lulu.com. </w:t>
            </w:r>
            <w:hyperlink r:id="rId4">
              <w:r>
                <w:rPr>
                  <w:rStyle w:val="InternetLink"/>
                  <w:color w:val="auto"/>
                </w:rPr>
                <w:t>https://soilmapper.org/</w:t>
              </w:r>
            </w:hyperlink>
            <w:hyperlink r:id="rId5">
              <w:r>
                <w:rPr>
                  <w:color w:val="auto"/>
                </w:rPr>
                <w:t>.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color w:val="auto"/>
              </w:rPr>
              <w:t xml:space="preserve">Ligges, Uwe. 2008. Programmieren Mit R. Berlin: Springer. </w:t>
            </w:r>
            <w:hyperlink r:id="rId6">
              <w:r>
                <w:rPr>
                  <w:rStyle w:val="InternetLink"/>
                  <w:color w:val="auto"/>
                </w:rPr>
                <w:t>https://doi.org/10.1007/978-3-540-79998-6</w:t>
              </w:r>
            </w:hyperlink>
            <w:r>
              <w:rPr>
                <w:color w:val="auto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Perpiñán Lamigueiro, Óscar. 2015. Displaying Time Series, Spatial, and Space-Time Data with r. Chapman &amp; Hall/CRC the r Series. Boca Raton, FL: CRC Press, Taylor &amp; Francis Group. </w:t>
            </w:r>
            <w:hyperlink r:id="rId7">
              <w:r>
                <w:rPr>
                  <w:rStyle w:val="InternetLink"/>
                  <w:color w:val="auto"/>
                </w:rPr>
                <w:t>https://oscarperpinan.github.io/bookvis/</w:t>
              </w:r>
            </w:hyperlink>
            <w:r>
              <w:rPr>
                <w:color w:val="auto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  <w:t>Wegmann, Martin. 2020. An Introduction to Spatial Data Analysis: Remote Sensing and GIS with Open Source Software. Edited by Jakob Schwalb-Willmann and Stefan Dech. Data in the Wild Series. Exeter: Pelagic Publishing.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  <w:t>Yarham, Robert. 2012. Landschaften Lesen: Die Formen Der Erdoberfläche Erkennen Und Verstehen. Edited by David Robinson and Peter Göbel. 1. Aufl. Bern: Haupt.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pPr>
      <w:keepNext w:val="true"/>
      <w:keepLines/>
      <w:spacing w:before="480" w:after="2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pPr>
      <w:keepNext w:val="true"/>
      <w:keepLines/>
      <w:spacing w:before="360" w:after="200"/>
      <w:outlineLvl w:val="1"/>
    </w:pPr>
    <w:rPr>
      <w:sz w:val="34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pPr>
      <w:keepNext w:val="true"/>
      <w:keepLines/>
      <w:spacing w:before="320" w:after="200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pPr>
      <w:keepNext w:val="true"/>
      <w:keepLines/>
      <w:spacing w:before="320" w:after="20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pPr>
      <w:keepNext w:val="true"/>
      <w:keepLines/>
      <w:spacing w:before="320" w:after="20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Berschrift6Zchn"/>
    <w:uiPriority w:val="9"/>
    <w:unhideWhenUsed/>
    <w:qFormat/>
    <w:pPr>
      <w:keepNext w:val="true"/>
      <w:keepLines/>
      <w:spacing w:before="320" w:after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Berschrift7Zchn"/>
    <w:uiPriority w:val="9"/>
    <w:unhideWhenUsed/>
    <w:qFormat/>
    <w:pPr>
      <w:keepNext w:val="true"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Berschrift8Zchn"/>
    <w:uiPriority w:val="9"/>
    <w:unhideWhenUsed/>
    <w:qFormat/>
    <w:pPr>
      <w:keepNext w:val="true"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Berschrift9Zchn"/>
    <w:uiPriority w:val="9"/>
    <w:unhideWhenUsed/>
    <w:qFormat/>
    <w:pPr>
      <w:keepNext w:val="true"/>
      <w:keepLines/>
      <w:spacing w:before="320" w:after="200"/>
      <w:outlineLvl w:val="8"/>
    </w:pPr>
    <w:rPr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erschrift1Zchn" w:customStyle="1">
    <w:name w:val="Überschrift 1 Zchn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Berschrift2Zchn" w:customStyle="1">
    <w:name w:val="Überschrift 2 Zchn"/>
    <w:link w:val="Heading2"/>
    <w:uiPriority w:val="9"/>
    <w:qFormat/>
    <w:rPr>
      <w:rFonts w:ascii="Arial" w:hAnsi="Arial" w:eastAsia="Arial" w:cs="Arial"/>
      <w:sz w:val="34"/>
    </w:rPr>
  </w:style>
  <w:style w:type="character" w:styleId="Berschrift3Zchn" w:customStyle="1">
    <w:name w:val="Überschrift 3 Zchn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Berschrift4Zchn" w:customStyle="1">
    <w:name w:val="Überschrift 4 Zchn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Berschrift5Zchn" w:customStyle="1">
    <w:name w:val="Überschrift 5 Zchn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Berschrift6Zchn" w:customStyle="1">
    <w:name w:val="Überschrift 6 Zchn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Berschrift7Zchn" w:customStyle="1">
    <w:name w:val="Überschrift 7 Zchn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Berschrift8Zchn" w:customStyle="1">
    <w:name w:val="Überschrift 8 Zchn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Berschrift9Zchn" w:customStyle="1">
    <w:name w:val="Überschrift 9 Zchn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elZchn" w:customStyle="1">
    <w:name w:val="Titel Zchn"/>
    <w:link w:val="Title"/>
    <w:uiPriority w:val="10"/>
    <w:qFormat/>
    <w:rPr>
      <w:sz w:val="48"/>
      <w:szCs w:val="48"/>
    </w:rPr>
  </w:style>
  <w:style w:type="character" w:styleId="UntertitelZchn" w:customStyle="1">
    <w:name w:val="Untertitel Zchn"/>
    <w:link w:val="Subtitle"/>
    <w:uiPriority w:val="11"/>
    <w:qFormat/>
    <w:rPr>
      <w:sz w:val="24"/>
      <w:szCs w:val="24"/>
    </w:rPr>
  </w:style>
  <w:style w:type="character" w:styleId="ZitatZchn" w:customStyle="1">
    <w:name w:val="Zitat Zchn"/>
    <w:link w:val="Quote"/>
    <w:uiPriority w:val="29"/>
    <w:qFormat/>
    <w:rPr>
      <w:i/>
    </w:rPr>
  </w:style>
  <w:style w:type="character" w:styleId="IntensivesZitatZchn" w:customStyle="1">
    <w:name w:val="Intensives Zitat Zchn"/>
    <w:link w:val="IntenseQuote"/>
    <w:uiPriority w:val="30"/>
    <w:qFormat/>
    <w:rPr>
      <w:i/>
    </w:rPr>
  </w:style>
  <w:style w:type="character" w:styleId="KopfzeileZchn" w:customStyle="1">
    <w:name w:val="Kopfzeile Zchn"/>
    <w:link w:val="Heade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FuzeileZchn" w:customStyle="1">
    <w:name w:val="Fußzeile Zchn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unotentextZchn" w:customStyle="1">
    <w:name w:val="Fußnotentext Zchn"/>
    <w:link w:val="Footnote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ntextZchn" w:customStyle="1">
    <w:name w:val="Endnotentext Zchn"/>
    <w:link w:val="Endnote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Title">
    <w:name w:val="Title"/>
    <w:basedOn w:val="Normal"/>
    <w:next w:val="Normal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UntertitelZchn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ZitatZchn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Footnote">
    <w:name w:val="Footnote Text"/>
    <w:basedOn w:val="Normal"/>
    <w:link w:val="FunotentextZchn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ntextZchn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en-US" w:bidi="ar-SA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FFFFF" w:fill="F2F2F2" w:themeFill="text1" w:themeFillTint="d"/>
      </w:tcPr>
    </w:tblStylePr>
    <w:tblStylePr w:type="band1Horz">
      <w:tblPr/>
      <w:tcPr>
        <w:shd w:val="clear" w:color="FFFFFF" w:fill="F2F2F2" w:themeFill="text1" w:themeFillTint="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  <w:shd w:val="clear" w:color="FFFFFF" w:fill="FFFFFF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  <w:shd w:val="clear" w:color="FFFFFF" w:fill="FFFFFF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FFFFFF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FFFFFF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FFFFFF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  <w:shd w:val="clear" w:color="FFFFFF" w:fill="FFFFFF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lications.jrc.ec.europa.eu/repository/handle/JRC38153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oilmapper.org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doi.org/10.1007/978-3-540-79998-6" TargetMode="External"/><Relationship Id="rId7" Type="http://schemas.openxmlformats.org/officeDocument/2006/relationships/hyperlink" Target="https://oscarperpinan.github.io/bookvi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LibreOffice/7.3.7.2$Linux_X86_64 LibreOffice_project/30$Build-2</Application>
  <AppVersion>15.0000</AppVersion>
  <Pages>2</Pages>
  <Words>398</Words>
  <Characters>2761</Characters>
  <CharactersWithSpaces>3085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2024-05-21T12:29:00Z</dcterms:created>
  <dc:creator>Birgit Bellenhaus</dc:creator>
  <dc:description/>
  <dc:language>en-GB</dc:language>
  <cp:lastModifiedBy/>
  <dcterms:modified xsi:type="dcterms:W3CDTF">2024-06-04T14:22:19Z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