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Expt. No.:04</w:t>
        <w:tab/>
        <w:tab/>
        <w:tab/>
        <w:tab/>
        <w:tab/>
        <w:tab/>
        <w:tab/>
        <w:t xml:space="preserve">Date: 05/10/2020</w:t>
      </w:r>
    </w:p>
    <w:p w:rsidR="00000000" w:rsidDel="00000000" w:rsidP="00000000" w:rsidRDefault="00000000" w:rsidRPr="00000000" w14:paraId="00000002">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DATA VISUALIZATION USING PYTHON</w:t>
      </w:r>
    </w:p>
    <w:p w:rsidR="00000000" w:rsidDel="00000000" w:rsidP="00000000" w:rsidRDefault="00000000" w:rsidRPr="00000000" w14:paraId="00000003">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AIM: </w:t>
      </w:r>
    </w:p>
    <w:p w:rsidR="00000000" w:rsidDel="00000000" w:rsidP="00000000" w:rsidRDefault="00000000" w:rsidRPr="00000000" w14:paraId="00000004">
      <w:pPr>
        <w:numPr>
          <w:ilvl w:val="0"/>
          <w:numId w:val="1"/>
        </w:numPr>
        <w:spacing w:after="80" w:line="360" w:lineRule="auto"/>
        <w:ind w:left="1080" w:hanging="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Visualization using Pandas and Seaborn:</w:t>
      </w:r>
    </w:p>
    <w:p w:rsidR="00000000" w:rsidDel="00000000" w:rsidP="00000000" w:rsidRDefault="00000000" w:rsidRPr="00000000" w14:paraId="00000005">
      <w:pPr>
        <w:numPr>
          <w:ilvl w:val="1"/>
          <w:numId w:val="1"/>
        </w:numPr>
        <w:spacing w:after="80"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Plot a histogram </w:t>
      </w:r>
    </w:p>
    <w:p w:rsidR="00000000" w:rsidDel="00000000" w:rsidP="00000000" w:rsidRDefault="00000000" w:rsidRPr="00000000" w14:paraId="00000006">
      <w:pPr>
        <w:numPr>
          <w:ilvl w:val="1"/>
          <w:numId w:val="1"/>
        </w:numPr>
        <w:spacing w:after="80"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Plot a scatterplot and identify redundant attributes</w:t>
      </w:r>
    </w:p>
    <w:p w:rsidR="00000000" w:rsidDel="00000000" w:rsidP="00000000" w:rsidRDefault="00000000" w:rsidRPr="00000000" w14:paraId="00000007">
      <w:pPr>
        <w:numPr>
          <w:ilvl w:val="1"/>
          <w:numId w:val="1"/>
        </w:numPr>
        <w:spacing w:after="80"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Plot a box plot, bar chart, pie chart for all the attributes</w:t>
      </w:r>
    </w:p>
    <w:p w:rsidR="00000000" w:rsidDel="00000000" w:rsidP="00000000" w:rsidRDefault="00000000" w:rsidRPr="00000000" w14:paraId="00000008">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THEORY: </w:t>
      </w:r>
      <w:r w:rsidDel="00000000" w:rsidR="00000000" w:rsidRPr="00000000">
        <w:rPr>
          <w:rFonts w:ascii="Cambria" w:cs="Cambria" w:eastAsia="Cambria" w:hAnsi="Cambria"/>
          <w:sz w:val="24"/>
          <w:szCs w:val="24"/>
          <w:rtl w:val="0"/>
        </w:rPr>
        <w:t xml:space="preserve">We use Visualization tools to get a graphical summary of the dataset.</w:t>
      </w:r>
    </w:p>
    <w:p w:rsidR="00000000" w:rsidDel="00000000" w:rsidP="00000000" w:rsidRDefault="00000000" w:rsidRPr="00000000" w14:paraId="00000009">
      <w:pPr>
        <w:spacing w:after="80" w:line="360" w:lineRule="auto"/>
        <w:ind w:left="1276" w:hanging="1276"/>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Box Plot:</w:t>
      </w:r>
    </w:p>
    <w:p w:rsidR="00000000" w:rsidDel="00000000" w:rsidP="00000000" w:rsidRDefault="00000000" w:rsidRPr="00000000" w14:paraId="0000000A">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Box Plot is the visual representation of the depicting groups of numerical data through their quartiles. Boxplot is also used for detect the outlier in data set. It captures the summary of the data efficiently with a simple box and whiskers and allows us to compare easily across groups. Boxplot summarizes a sample data using 25th, 50th and 75th percentiles.</w:t>
      </w:r>
    </w:p>
    <w:p w:rsidR="00000000" w:rsidDel="00000000" w:rsidP="00000000" w:rsidRDefault="00000000" w:rsidRPr="00000000" w14:paraId="0000000B">
      <w:pPr>
        <w:keepNext w:val="1"/>
        <w:spacing w:after="80" w:line="360" w:lineRule="auto"/>
        <w:jc w:val="center"/>
        <w:rPr/>
      </w:pPr>
      <w:r w:rsidDel="00000000" w:rsidR="00000000" w:rsidRPr="00000000">
        <w:rPr>
          <w:rFonts w:ascii="Cambria" w:cs="Cambria" w:eastAsia="Cambria" w:hAnsi="Cambria"/>
          <w:sz w:val="24"/>
          <w:szCs w:val="24"/>
        </w:rPr>
        <w:drawing>
          <wp:inline distB="0" distT="0" distL="0" distR="0">
            <wp:extent cx="3040293" cy="20828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0293" cy="20828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1"/>
          <w:smallCaps w:val="0"/>
          <w:strike w:val="0"/>
          <w:color w:val="1f497d"/>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Box Plot for IRIS dataset</w:t>
      </w:r>
      <w:r w:rsidDel="00000000" w:rsidR="00000000" w:rsidRPr="00000000">
        <w:rPr>
          <w:rtl w:val="0"/>
        </w:rPr>
      </w:r>
    </w:p>
    <w:p w:rsidR="00000000" w:rsidDel="00000000" w:rsidP="00000000" w:rsidRDefault="00000000" w:rsidRPr="00000000" w14:paraId="0000000D">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box plot consist of 5 things.</w:t>
      </w:r>
    </w:p>
    <w:p w:rsidR="00000000" w:rsidDel="00000000" w:rsidP="00000000" w:rsidRDefault="00000000" w:rsidRPr="00000000" w14:paraId="0000000E">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Minimum</w:t>
      </w:r>
    </w:p>
    <w:p w:rsidR="00000000" w:rsidDel="00000000" w:rsidP="00000000" w:rsidRDefault="00000000" w:rsidRPr="00000000" w14:paraId="0000000F">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First Quartile or 25%</w:t>
      </w:r>
    </w:p>
    <w:p w:rsidR="00000000" w:rsidDel="00000000" w:rsidP="00000000" w:rsidRDefault="00000000" w:rsidRPr="00000000" w14:paraId="00000010">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Median (Second Quartile) or 50%</w:t>
      </w:r>
    </w:p>
    <w:p w:rsidR="00000000" w:rsidDel="00000000" w:rsidP="00000000" w:rsidRDefault="00000000" w:rsidRPr="00000000" w14:paraId="00000011">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Third Quartile or 75%</w:t>
      </w:r>
    </w:p>
    <w:p w:rsidR="00000000" w:rsidDel="00000000" w:rsidP="00000000" w:rsidRDefault="00000000" w:rsidRPr="00000000" w14:paraId="00000012">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Maximum</w:t>
      </w:r>
    </w:p>
    <w:p w:rsidR="00000000" w:rsidDel="00000000" w:rsidP="00000000" w:rsidRDefault="00000000" w:rsidRPr="00000000" w14:paraId="00000013">
      <w:pPr>
        <w:spacing w:after="80" w:line="360" w:lineRule="auto"/>
        <w:ind w:left="1276" w:hanging="1276"/>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Scatter Plot</w:t>
      </w:r>
    </w:p>
    <w:p w:rsidR="00000000" w:rsidDel="00000000" w:rsidP="00000000" w:rsidRDefault="00000000" w:rsidRPr="00000000" w14:paraId="00000014">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000000" w:rsidDel="00000000" w:rsidP="00000000" w:rsidRDefault="00000000" w:rsidRPr="00000000" w14:paraId="00000015">
      <w:pPr>
        <w:keepNext w:val="1"/>
        <w:spacing w:after="80" w:line="360" w:lineRule="auto"/>
        <w:jc w:val="center"/>
        <w:rPr/>
      </w:pPr>
      <w:r w:rsidDel="00000000" w:rsidR="00000000" w:rsidRPr="00000000">
        <w:rPr>
          <w:rFonts w:ascii="Cambria" w:cs="Cambria" w:eastAsia="Cambria" w:hAnsi="Cambria"/>
          <w:sz w:val="24"/>
          <w:szCs w:val="24"/>
        </w:rPr>
        <w:drawing>
          <wp:inline distB="0" distT="0" distL="0" distR="0">
            <wp:extent cx="3188075" cy="221558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88075" cy="221558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1"/>
          <w:smallCaps w:val="0"/>
          <w:strike w:val="0"/>
          <w:color w:val="1f497d"/>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Scatter plot for SepalLenthCm and PetalLengthCm</w:t>
      </w:r>
      <w:r w:rsidDel="00000000" w:rsidR="00000000" w:rsidRPr="00000000">
        <w:rPr>
          <w:rtl w:val="0"/>
        </w:rPr>
      </w:r>
    </w:p>
    <w:p w:rsidR="00000000" w:rsidDel="00000000" w:rsidP="00000000" w:rsidRDefault="00000000" w:rsidRPr="00000000" w14:paraId="00000017">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Scatter plots’ primary uses are to observe and show relationships between two numeric variables. The dots in a scatter plot not only report the values of individual data points, but also patterns when the data are taken as a whole.</w:t>
      </w:r>
    </w:p>
    <w:p w:rsidR="00000000" w:rsidDel="00000000" w:rsidP="00000000" w:rsidRDefault="00000000" w:rsidRPr="00000000" w14:paraId="00000018">
      <w:pPr>
        <w:spacing w:after="80" w:line="360" w:lineRule="auto"/>
        <w:jc w:val="center"/>
        <w:rPr>
          <w:rFonts w:ascii="Cambria" w:cs="Cambria" w:eastAsia="Cambria" w:hAnsi="Cambria"/>
          <w:sz w:val="24"/>
          <w:szCs w:val="24"/>
        </w:rPr>
      </w:pPr>
      <w:r w:rsidDel="00000000" w:rsidR="00000000" w:rsidRPr="00000000">
        <w:rPr>
          <w:rtl w:val="0"/>
        </w:rPr>
        <w:t xml:space="preserve"> </w:t>
      </w:r>
      <w:r w:rsidDel="00000000" w:rsidR="00000000" w:rsidRPr="00000000">
        <w:rPr/>
        <w:drawing>
          <wp:inline distB="0" distT="0" distL="0" distR="0">
            <wp:extent cx="2951060" cy="2958241"/>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51060" cy="295824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Identification of correlational relationships are common with scatter plots. In these cases, we want to know, if we were given a particular horizontal value, what a good prediction would be for the vertical value. Relationships between variables can be described in many ways: positive or negative, strong or weak, linear or nonlinear.</w:t>
      </w:r>
    </w:p>
    <w:p w:rsidR="00000000" w:rsidDel="00000000" w:rsidP="00000000" w:rsidRDefault="00000000" w:rsidRPr="00000000" w14:paraId="0000001A">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Histogram:</w:t>
      </w:r>
    </w:p>
    <w:p w:rsidR="00000000" w:rsidDel="00000000" w:rsidP="00000000" w:rsidRDefault="00000000" w:rsidRPr="00000000" w14:paraId="0000001B">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histogram is an approximate representation of the </w:t>
      </w:r>
      <w:hyperlink r:id="rId9">
        <w:r w:rsidDel="00000000" w:rsidR="00000000" w:rsidRPr="00000000">
          <w:rPr>
            <w:rFonts w:ascii="Cambria" w:cs="Cambria" w:eastAsia="Cambria" w:hAnsi="Cambria"/>
            <w:color w:val="000000"/>
            <w:sz w:val="24"/>
            <w:szCs w:val="24"/>
            <w:u w:val="none"/>
            <w:rtl w:val="0"/>
          </w:rPr>
          <w:t xml:space="preserve">distribution</w:t>
        </w:r>
      </w:hyperlink>
      <w:r w:rsidDel="00000000" w:rsidR="00000000" w:rsidRPr="00000000">
        <w:rPr>
          <w:rFonts w:ascii="Cambria" w:cs="Cambria" w:eastAsia="Cambria" w:hAnsi="Cambria"/>
          <w:sz w:val="24"/>
          <w:szCs w:val="24"/>
          <w:rtl w:val="0"/>
        </w:rPr>
        <w:t xml:space="preserve"> of numerical data. It was first introduced by </w:t>
      </w:r>
      <w:hyperlink r:id="rId10">
        <w:r w:rsidDel="00000000" w:rsidR="00000000" w:rsidRPr="00000000">
          <w:rPr>
            <w:rFonts w:ascii="Cambria" w:cs="Cambria" w:eastAsia="Cambria" w:hAnsi="Cambria"/>
            <w:color w:val="000000"/>
            <w:sz w:val="24"/>
            <w:szCs w:val="24"/>
            <w:u w:val="none"/>
            <w:rtl w:val="0"/>
          </w:rPr>
          <w:t xml:space="preserve">Karl Pearson</w:t>
        </w:r>
      </w:hyperlink>
      <w:r w:rsidDel="00000000" w:rsidR="00000000" w:rsidRPr="00000000">
        <w:rPr>
          <w:rFonts w:ascii="Cambria" w:cs="Cambria" w:eastAsia="Cambria" w:hAnsi="Cambria"/>
          <w:sz w:val="24"/>
          <w:szCs w:val="24"/>
          <w:rtl w:val="0"/>
        </w:rPr>
        <w:t xml:space="preserve">. To construct a histogram, the first step is to "</w:t>
      </w:r>
      <w:hyperlink r:id="rId11">
        <w:r w:rsidDel="00000000" w:rsidR="00000000" w:rsidRPr="00000000">
          <w:rPr>
            <w:rFonts w:ascii="Cambria" w:cs="Cambria" w:eastAsia="Cambria" w:hAnsi="Cambria"/>
            <w:color w:val="000000"/>
            <w:sz w:val="24"/>
            <w:szCs w:val="24"/>
            <w:u w:val="none"/>
            <w:rtl w:val="0"/>
          </w:rPr>
          <w:t xml:space="preserve">bin</w:t>
        </w:r>
      </w:hyperlink>
      <w:r w:rsidDel="00000000" w:rsidR="00000000" w:rsidRPr="00000000">
        <w:rPr>
          <w:rFonts w:ascii="Cambria" w:cs="Cambria" w:eastAsia="Cambria" w:hAnsi="Cambria"/>
          <w:sz w:val="24"/>
          <w:szCs w:val="24"/>
          <w:rtl w:val="0"/>
        </w:rPr>
        <w:t xml:space="preserve">" (or "</w:t>
      </w:r>
      <w:hyperlink r:id="rId12">
        <w:r w:rsidDel="00000000" w:rsidR="00000000" w:rsidRPr="00000000">
          <w:rPr>
            <w:rFonts w:ascii="Cambria" w:cs="Cambria" w:eastAsia="Cambria" w:hAnsi="Cambria"/>
            <w:color w:val="000000"/>
            <w:sz w:val="24"/>
            <w:szCs w:val="24"/>
            <w:u w:val="none"/>
            <w:rtl w:val="0"/>
          </w:rPr>
          <w:t xml:space="preserve">bucket</w:t>
        </w:r>
      </w:hyperlink>
      <w:r w:rsidDel="00000000" w:rsidR="00000000" w:rsidRPr="00000000">
        <w:rPr>
          <w:rFonts w:ascii="Cambria" w:cs="Cambria" w:eastAsia="Cambria" w:hAnsi="Cambria"/>
          <w:sz w:val="24"/>
          <w:szCs w:val="24"/>
          <w:rtl w:val="0"/>
        </w:rPr>
        <w:t xml:space="preserve">") the range of values—that is, divide the entire range of values into a series of intervals—and then count how many values fall into each interval. The bins are usually specified as consecutive, non-overlapping </w:t>
      </w:r>
      <w:hyperlink r:id="rId13">
        <w:r w:rsidDel="00000000" w:rsidR="00000000" w:rsidRPr="00000000">
          <w:rPr>
            <w:rFonts w:ascii="Cambria" w:cs="Cambria" w:eastAsia="Cambria" w:hAnsi="Cambria"/>
            <w:color w:val="000000"/>
            <w:sz w:val="24"/>
            <w:szCs w:val="24"/>
            <w:u w:val="none"/>
            <w:rtl w:val="0"/>
          </w:rPr>
          <w:t xml:space="preserve">intervals</w:t>
        </w:r>
      </w:hyperlink>
      <w:r w:rsidDel="00000000" w:rsidR="00000000" w:rsidRPr="00000000">
        <w:rPr>
          <w:rFonts w:ascii="Cambria" w:cs="Cambria" w:eastAsia="Cambria" w:hAnsi="Cambria"/>
          <w:sz w:val="24"/>
          <w:szCs w:val="24"/>
          <w:rtl w:val="0"/>
        </w:rPr>
        <w:t xml:space="preserve"> of a variable. The bins (intervals) must be adjacent and are often (but not required to be) of equal size. </w:t>
      </w:r>
    </w:p>
    <w:p w:rsidR="00000000" w:rsidDel="00000000" w:rsidP="00000000" w:rsidRDefault="00000000" w:rsidRPr="00000000" w14:paraId="0000001C">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bins are of equal size, a rectangle is erected over the bin with height proportional to the </w:t>
      </w:r>
      <w:hyperlink r:id="rId14">
        <w:r w:rsidDel="00000000" w:rsidR="00000000" w:rsidRPr="00000000">
          <w:rPr>
            <w:rFonts w:ascii="Cambria" w:cs="Cambria" w:eastAsia="Cambria" w:hAnsi="Cambria"/>
            <w:color w:val="000000"/>
            <w:sz w:val="24"/>
            <w:szCs w:val="24"/>
            <w:u w:val="none"/>
            <w:rtl w:val="0"/>
          </w:rPr>
          <w:t xml:space="preserve">frequency</w:t>
        </w:r>
      </w:hyperlink>
      <w:r w:rsidDel="00000000" w:rsidR="00000000" w:rsidRPr="00000000">
        <w:rPr>
          <w:rFonts w:ascii="Cambria" w:cs="Cambria" w:eastAsia="Cambria" w:hAnsi="Cambria"/>
          <w:sz w:val="24"/>
          <w:szCs w:val="24"/>
          <w:rtl w:val="0"/>
        </w:rPr>
        <w:t xml:space="preserve">—the number of cases in each bin. A histogram may also be </w:t>
      </w:r>
      <w:hyperlink r:id="rId15">
        <w:r w:rsidDel="00000000" w:rsidR="00000000" w:rsidRPr="00000000">
          <w:rPr>
            <w:rFonts w:ascii="Cambria" w:cs="Cambria" w:eastAsia="Cambria" w:hAnsi="Cambria"/>
            <w:color w:val="000000"/>
            <w:sz w:val="24"/>
            <w:szCs w:val="24"/>
            <w:u w:val="none"/>
            <w:rtl w:val="0"/>
          </w:rPr>
          <w:t xml:space="preserve">normalized</w:t>
        </w:r>
      </w:hyperlink>
      <w:r w:rsidDel="00000000" w:rsidR="00000000" w:rsidRPr="00000000">
        <w:rPr>
          <w:rFonts w:ascii="Cambria" w:cs="Cambria" w:eastAsia="Cambria" w:hAnsi="Cambria"/>
          <w:sz w:val="24"/>
          <w:szCs w:val="24"/>
          <w:rtl w:val="0"/>
        </w:rPr>
        <w:t xml:space="preserve"> to display "relative" frequencies. It then shows the proportion of cases that fall into each of several </w:t>
      </w:r>
      <w:hyperlink r:id="rId16">
        <w:r w:rsidDel="00000000" w:rsidR="00000000" w:rsidRPr="00000000">
          <w:rPr>
            <w:rFonts w:ascii="Cambria" w:cs="Cambria" w:eastAsia="Cambria" w:hAnsi="Cambria"/>
            <w:color w:val="000000"/>
            <w:sz w:val="24"/>
            <w:szCs w:val="24"/>
            <w:u w:val="none"/>
            <w:rtl w:val="0"/>
          </w:rPr>
          <w:t xml:space="preserve">categories</w:t>
        </w:r>
      </w:hyperlink>
      <w:r w:rsidDel="00000000" w:rsidR="00000000" w:rsidRPr="00000000">
        <w:rPr>
          <w:rFonts w:ascii="Cambria" w:cs="Cambria" w:eastAsia="Cambria" w:hAnsi="Cambria"/>
          <w:sz w:val="24"/>
          <w:szCs w:val="24"/>
          <w:rtl w:val="0"/>
        </w:rPr>
        <w:t xml:space="preserve">, with the sum of the heights equaling 1.</w:t>
      </w:r>
    </w:p>
    <w:p w:rsidR="00000000" w:rsidDel="00000000" w:rsidP="00000000" w:rsidRDefault="00000000" w:rsidRPr="00000000" w14:paraId="0000001D">
      <w:pPr>
        <w:keepNext w:val="1"/>
        <w:spacing w:after="80" w:line="360" w:lineRule="auto"/>
        <w:jc w:val="center"/>
        <w:rPr/>
      </w:pPr>
      <w:r w:rsidDel="00000000" w:rsidR="00000000" w:rsidRPr="00000000">
        <w:rPr/>
        <w:drawing>
          <wp:inline distB="0" distT="0" distL="0" distR="0">
            <wp:extent cx="3416566" cy="2204519"/>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16566" cy="220451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3: Histogram for IRIS Dataset</w:t>
      </w:r>
      <w:r w:rsidDel="00000000" w:rsidR="00000000" w:rsidRPr="00000000">
        <w:rPr>
          <w:rtl w:val="0"/>
        </w:rPr>
      </w:r>
    </w:p>
    <w:p w:rsidR="00000000" w:rsidDel="00000000" w:rsidP="00000000" w:rsidRDefault="00000000" w:rsidRPr="00000000" w14:paraId="0000001F">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bins need not be of equal width; in that case, the erected rectangle is defined to have its </w:t>
      </w:r>
      <w:r w:rsidDel="00000000" w:rsidR="00000000" w:rsidRPr="00000000">
        <w:rPr>
          <w:rFonts w:ascii="Cambria" w:cs="Cambria" w:eastAsia="Cambria" w:hAnsi="Cambria"/>
          <w:i w:val="1"/>
          <w:sz w:val="24"/>
          <w:szCs w:val="24"/>
          <w:rtl w:val="0"/>
        </w:rPr>
        <w:t xml:space="preserve">area</w:t>
      </w:r>
      <w:r w:rsidDel="00000000" w:rsidR="00000000" w:rsidRPr="00000000">
        <w:rPr>
          <w:rFonts w:ascii="Cambria" w:cs="Cambria" w:eastAsia="Cambria" w:hAnsi="Cambria"/>
          <w:sz w:val="24"/>
          <w:szCs w:val="24"/>
          <w:rtl w:val="0"/>
        </w:rPr>
        <w:t xml:space="preserve"> proportional to the frequency of cases in the bin. The vertical axis is then not the frequency but </w:t>
      </w:r>
      <w:r w:rsidDel="00000000" w:rsidR="00000000" w:rsidRPr="00000000">
        <w:rPr>
          <w:rFonts w:ascii="Cambria" w:cs="Cambria" w:eastAsia="Cambria" w:hAnsi="Cambria"/>
          <w:i w:val="1"/>
          <w:sz w:val="24"/>
          <w:szCs w:val="24"/>
          <w:rtl w:val="0"/>
        </w:rPr>
        <w:t xml:space="preserve">frequency density</w:t>
      </w:r>
      <w:r w:rsidDel="00000000" w:rsidR="00000000" w:rsidRPr="00000000">
        <w:rPr>
          <w:rFonts w:ascii="Cambria" w:cs="Cambria" w:eastAsia="Cambria" w:hAnsi="Cambria"/>
          <w:sz w:val="24"/>
          <w:szCs w:val="24"/>
          <w:rtl w:val="0"/>
        </w:rPr>
        <w:t xml:space="preserve">—the number of cases per unit of the variable on the horizontal axis. Examples of variable bin width are displayed on Census bureau data below.</w:t>
      </w:r>
    </w:p>
    <w:p w:rsidR="00000000" w:rsidDel="00000000" w:rsidP="00000000" w:rsidRDefault="00000000" w:rsidRPr="00000000" w14:paraId="00000020">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adjacent bins leave no gaps, the rectangles of a histogram touch each other to indicate that the original variable is continuous. </w:t>
      </w:r>
    </w:p>
    <w:p w:rsidR="00000000" w:rsidDel="00000000" w:rsidP="00000000" w:rsidRDefault="00000000" w:rsidRPr="00000000" w14:paraId="00000021">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Histograms give a rough sense of the density of the underlying distribution of the data, and often for </w:t>
      </w:r>
      <w:hyperlink r:id="rId18">
        <w:r w:rsidDel="00000000" w:rsidR="00000000" w:rsidRPr="00000000">
          <w:rPr>
            <w:rFonts w:ascii="Cambria" w:cs="Cambria" w:eastAsia="Cambria" w:hAnsi="Cambria"/>
            <w:color w:val="000000"/>
            <w:sz w:val="24"/>
            <w:szCs w:val="24"/>
            <w:u w:val="none"/>
            <w:rtl w:val="0"/>
          </w:rPr>
          <w:t xml:space="preserve">density estimation</w:t>
        </w:r>
      </w:hyperlink>
      <w:r w:rsidDel="00000000" w:rsidR="00000000" w:rsidRPr="00000000">
        <w:rPr>
          <w:rFonts w:ascii="Cambria" w:cs="Cambria" w:eastAsia="Cambria" w:hAnsi="Cambria"/>
          <w:sz w:val="24"/>
          <w:szCs w:val="24"/>
          <w:rtl w:val="0"/>
        </w:rPr>
        <w:t xml:space="preserve">: estimating the </w:t>
      </w:r>
      <w:hyperlink r:id="rId19">
        <w:r w:rsidDel="00000000" w:rsidR="00000000" w:rsidRPr="00000000">
          <w:rPr>
            <w:rFonts w:ascii="Cambria" w:cs="Cambria" w:eastAsia="Cambria" w:hAnsi="Cambria"/>
            <w:color w:val="000000"/>
            <w:sz w:val="24"/>
            <w:szCs w:val="24"/>
            <w:u w:val="none"/>
            <w:rtl w:val="0"/>
          </w:rPr>
          <w:t xml:space="preserve">probability density function</w:t>
        </w:r>
      </w:hyperlink>
      <w:r w:rsidDel="00000000" w:rsidR="00000000" w:rsidRPr="00000000">
        <w:rPr>
          <w:rFonts w:ascii="Cambria" w:cs="Cambria" w:eastAsia="Cambria" w:hAnsi="Cambria"/>
          <w:sz w:val="24"/>
          <w:szCs w:val="24"/>
          <w:rtl w:val="0"/>
        </w:rPr>
        <w:t xml:space="preserve"> of the underlying variable. The total area of a histogram used for probability density is always normalized to 1. If the length of the intervals on the </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-axis are all 1, then a histogram is identical to a </w:t>
      </w:r>
      <w:hyperlink r:id="rId20">
        <w:r w:rsidDel="00000000" w:rsidR="00000000" w:rsidRPr="00000000">
          <w:rPr>
            <w:rFonts w:ascii="Cambria" w:cs="Cambria" w:eastAsia="Cambria" w:hAnsi="Cambria"/>
            <w:color w:val="000000"/>
            <w:sz w:val="24"/>
            <w:szCs w:val="24"/>
            <w:u w:val="none"/>
            <w:rtl w:val="0"/>
          </w:rPr>
          <w:t xml:space="preserve">relative frequency</w:t>
        </w:r>
      </w:hyperlink>
      <w:r w:rsidDel="00000000" w:rsidR="00000000" w:rsidRPr="00000000">
        <w:rPr>
          <w:rFonts w:ascii="Cambria" w:cs="Cambria" w:eastAsia="Cambria" w:hAnsi="Cambria"/>
          <w:sz w:val="24"/>
          <w:szCs w:val="24"/>
          <w:rtl w:val="0"/>
        </w:rPr>
        <w:t xml:space="preserve"> plot.</w:t>
      </w:r>
    </w:p>
    <w:p w:rsidR="00000000" w:rsidDel="00000000" w:rsidP="00000000" w:rsidRDefault="00000000" w:rsidRPr="00000000" w14:paraId="00000022">
      <w:pPr>
        <w:spacing w:after="8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PROGRAM:</w:t>
      </w:r>
    </w:p>
    <w:p w:rsidR="00000000" w:rsidDel="00000000" w:rsidP="00000000" w:rsidRDefault="00000000" w:rsidRPr="00000000" w14:paraId="00000024">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%matplotlib inline</w:t>
      </w:r>
    </w:p>
    <w:p w:rsidR="00000000" w:rsidDel="00000000" w:rsidP="00000000" w:rsidRDefault="00000000" w:rsidRPr="00000000" w14:paraId="00000025">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import seaborn as sns</w:t>
      </w:r>
    </w:p>
    <w:p w:rsidR="00000000" w:rsidDel="00000000" w:rsidP="00000000" w:rsidRDefault="00000000" w:rsidRPr="00000000" w14:paraId="00000026">
      <w:pPr>
        <w:spacing w:after="80" w:line="360" w:lineRule="auto"/>
        <w:jc w:val="both"/>
        <w:rPr>
          <w:rFonts w:ascii="Merriweather" w:cs="Merriweather" w:eastAsia="Merriweather" w:hAnsi="Merriweather"/>
          <w:b w:val="1"/>
          <w:sz w:val="18"/>
          <w:szCs w:val="18"/>
        </w:rPr>
      </w:pPr>
      <w:r w:rsidDel="00000000" w:rsidR="00000000" w:rsidRPr="00000000">
        <w:rPr>
          <w:rFonts w:ascii="Courier New" w:cs="Courier New" w:eastAsia="Courier New" w:hAnsi="Courier New"/>
          <w:b w:val="1"/>
          <w:color w:val="4a86e8"/>
          <w:sz w:val="18"/>
          <w:szCs w:val="18"/>
          <w:rtl w:val="0"/>
        </w:rPr>
        <w:t xml:space="preserve">#histogram</w:t>
      </w:r>
      <w:r w:rsidDel="00000000" w:rsidR="00000000" w:rsidRPr="00000000">
        <w:rPr>
          <w:rtl w:val="0"/>
        </w:rPr>
      </w:r>
    </w:p>
    <w:p w:rsidR="00000000" w:rsidDel="00000000" w:rsidP="00000000" w:rsidRDefault="00000000" w:rsidRPr="00000000" w14:paraId="00000027">
      <w:pPr>
        <w:spacing w:after="80" w:line="360" w:lineRule="auto"/>
        <w:jc w:val="both"/>
        <w:rPr>
          <w:rFonts w:ascii="Courier New" w:cs="Courier New" w:eastAsia="Courier New" w:hAnsi="Courier New"/>
          <w:color w:val="4a86e8"/>
          <w:sz w:val="18"/>
          <w:szCs w:val="18"/>
        </w:rPr>
      </w:pPr>
      <w:r w:rsidDel="00000000" w:rsidR="00000000" w:rsidRPr="00000000">
        <w:rPr>
          <w:rFonts w:ascii="Merriweather" w:cs="Merriweather" w:eastAsia="Merriweather" w:hAnsi="Merriweather"/>
          <w:sz w:val="18"/>
          <w:szCs w:val="18"/>
          <w:rtl w:val="0"/>
        </w:rPr>
        <w:t xml:space="preserve">cereal_data.plot(kind="hist") </w:t>
      </w:r>
      <w:r w:rsidDel="00000000" w:rsidR="00000000" w:rsidRPr="00000000">
        <w:rPr>
          <w:rtl w:val="0"/>
        </w:rPr>
      </w:r>
    </w:p>
    <w:p w:rsidR="00000000" w:rsidDel="00000000" w:rsidP="00000000" w:rsidRDefault="00000000" w:rsidRPr="00000000" w14:paraId="00000028">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cereal_data_numeric = cereal_data.drop(columns=['name','mfr','type'])</w:t>
      </w:r>
    </w:p>
    <w:p w:rsidR="00000000" w:rsidDel="00000000" w:rsidP="00000000" w:rsidRDefault="00000000" w:rsidRPr="00000000" w14:paraId="00000029">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cereal_data_categorical = cereal_data[['name','mfr','type']]</w:t>
      </w:r>
    </w:p>
    <w:p w:rsidR="00000000" w:rsidDel="00000000" w:rsidP="00000000" w:rsidRDefault="00000000" w:rsidRPr="00000000" w14:paraId="0000002A">
      <w:pPr>
        <w:spacing w:after="80" w:line="360" w:lineRule="auto"/>
        <w:jc w:val="both"/>
        <w:rPr>
          <w:rFonts w:ascii="Merriweather" w:cs="Merriweather" w:eastAsia="Merriweather" w:hAnsi="Merriweather"/>
          <w:b w:val="1"/>
          <w:sz w:val="18"/>
          <w:szCs w:val="18"/>
        </w:rPr>
      </w:pPr>
      <w:r w:rsidDel="00000000" w:rsidR="00000000" w:rsidRPr="00000000">
        <w:rPr>
          <w:rFonts w:ascii="Courier New" w:cs="Courier New" w:eastAsia="Courier New" w:hAnsi="Courier New"/>
          <w:b w:val="1"/>
          <w:color w:val="4a86e8"/>
          <w:sz w:val="18"/>
          <w:szCs w:val="18"/>
          <w:rtl w:val="0"/>
        </w:rPr>
        <w:t xml:space="preserve">#scatter plots</w:t>
      </w:r>
      <w:r w:rsidDel="00000000" w:rsidR="00000000" w:rsidRPr="00000000">
        <w:rPr>
          <w:rtl w:val="0"/>
        </w:rPr>
      </w:r>
    </w:p>
    <w:p w:rsidR="00000000" w:rsidDel="00000000" w:rsidP="00000000" w:rsidRDefault="00000000" w:rsidRPr="00000000" w14:paraId="0000002B">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sns.pairplot(cereal_data_numeric) </w:t>
      </w:r>
    </w:p>
    <w:p w:rsidR="00000000" w:rsidDel="00000000" w:rsidP="00000000" w:rsidRDefault="00000000" w:rsidRPr="00000000" w14:paraId="0000002C">
      <w:pPr>
        <w:spacing w:after="80" w:line="360" w:lineRule="auto"/>
        <w:jc w:val="both"/>
        <w:rPr>
          <w:rFonts w:ascii="Courier New" w:cs="Courier New" w:eastAsia="Courier New" w:hAnsi="Courier New"/>
          <w:b w:val="1"/>
          <w:color w:val="4a86e8"/>
          <w:sz w:val="18"/>
          <w:szCs w:val="18"/>
        </w:rPr>
      </w:pPr>
      <w:r w:rsidDel="00000000" w:rsidR="00000000" w:rsidRPr="00000000">
        <w:rPr>
          <w:rFonts w:ascii="Courier New" w:cs="Courier New" w:eastAsia="Courier New" w:hAnsi="Courier New"/>
          <w:b w:val="1"/>
          <w:color w:val="4a86e8"/>
          <w:sz w:val="18"/>
          <w:szCs w:val="18"/>
          <w:rtl w:val="0"/>
        </w:rPr>
        <w:t xml:space="preserve">#correlation matrix to analyse which attributes have high linear relationship</w:t>
      </w:r>
    </w:p>
    <w:p w:rsidR="00000000" w:rsidDel="00000000" w:rsidP="00000000" w:rsidRDefault="00000000" w:rsidRPr="00000000" w14:paraId="0000002D">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corr = cereal_data.corr() </w:t>
      </w:r>
    </w:p>
    <w:p w:rsidR="00000000" w:rsidDel="00000000" w:rsidP="00000000" w:rsidRDefault="00000000" w:rsidRPr="00000000" w14:paraId="0000002E">
      <w:pPr>
        <w:spacing w:after="80" w:line="360" w:lineRule="auto"/>
        <w:jc w:val="both"/>
        <w:rPr>
          <w:rFonts w:ascii="Courier New" w:cs="Courier New" w:eastAsia="Courier New" w:hAnsi="Courier New"/>
          <w:b w:val="1"/>
          <w:color w:val="ff9900"/>
          <w:sz w:val="18"/>
          <w:szCs w:val="18"/>
        </w:rPr>
      </w:pPr>
      <w:r w:rsidDel="00000000" w:rsidR="00000000" w:rsidRPr="00000000">
        <w:rPr>
          <w:rFonts w:ascii="Courier New" w:cs="Courier New" w:eastAsia="Courier New" w:hAnsi="Courier New"/>
          <w:b w:val="1"/>
          <w:color w:val="ff9900"/>
          <w:sz w:val="18"/>
          <w:szCs w:val="18"/>
          <w:rtl w:val="0"/>
        </w:rPr>
        <w:t xml:space="preserve">#heatmap</w:t>
      </w:r>
    </w:p>
    <w:p w:rsidR="00000000" w:rsidDel="00000000" w:rsidP="00000000" w:rsidRDefault="00000000" w:rsidRPr="00000000" w14:paraId="0000002F">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sns.heatmap(corr,linewidths=.8) </w:t>
      </w:r>
    </w:p>
    <w:p w:rsidR="00000000" w:rsidDel="00000000" w:rsidP="00000000" w:rsidRDefault="00000000" w:rsidRPr="00000000" w14:paraId="00000030">
      <w:pPr>
        <w:spacing w:after="80" w:line="360" w:lineRule="auto"/>
        <w:jc w:val="both"/>
        <w:rPr>
          <w:rFonts w:ascii="Merriweather" w:cs="Merriweather" w:eastAsia="Merriweather" w:hAnsi="Merriweather"/>
          <w:sz w:val="18"/>
          <w:szCs w:val="18"/>
        </w:rPr>
      </w:pPr>
      <w:r w:rsidDel="00000000" w:rsidR="00000000" w:rsidRPr="00000000">
        <w:rPr>
          <w:rFonts w:ascii="Courier New" w:cs="Courier New" w:eastAsia="Courier New" w:hAnsi="Courier New"/>
          <w:b w:val="1"/>
          <w:color w:val="ff9900"/>
          <w:sz w:val="18"/>
          <w:szCs w:val="18"/>
          <w:rtl w:val="0"/>
        </w:rPr>
        <w:t xml:space="preserve">#box-plot</w:t>
      </w:r>
      <w:r w:rsidDel="00000000" w:rsidR="00000000" w:rsidRPr="00000000">
        <w:rPr>
          <w:rtl w:val="0"/>
        </w:rPr>
      </w:r>
    </w:p>
    <w:p w:rsidR="00000000" w:rsidDel="00000000" w:rsidP="00000000" w:rsidRDefault="00000000" w:rsidRPr="00000000" w14:paraId="00000031">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cereal_data.plot.box(figsize= (15,5))</w:t>
      </w:r>
    </w:p>
    <w:p w:rsidR="00000000" w:rsidDel="00000000" w:rsidP="00000000" w:rsidRDefault="00000000" w:rsidRPr="00000000" w14:paraId="00000032">
      <w:pPr>
        <w:spacing w:after="80" w:line="360" w:lineRule="auto"/>
        <w:jc w:val="both"/>
        <w:rPr>
          <w:rFonts w:ascii="Merriweather" w:cs="Merriweather" w:eastAsia="Merriweather" w:hAnsi="Merriweather"/>
          <w:sz w:val="18"/>
          <w:szCs w:val="18"/>
        </w:rPr>
      </w:pPr>
      <w:r w:rsidDel="00000000" w:rsidR="00000000" w:rsidRPr="00000000">
        <w:rPr>
          <w:rFonts w:ascii="Courier New" w:cs="Courier New" w:eastAsia="Courier New" w:hAnsi="Courier New"/>
          <w:b w:val="1"/>
          <w:color w:val="ff9900"/>
          <w:sz w:val="18"/>
          <w:szCs w:val="18"/>
          <w:rtl w:val="0"/>
        </w:rPr>
        <w:t xml:space="preserve">#pie-charts</w:t>
      </w:r>
      <w:r w:rsidDel="00000000" w:rsidR="00000000" w:rsidRPr="00000000">
        <w:rPr>
          <w:rtl w:val="0"/>
        </w:rPr>
      </w:r>
    </w:p>
    <w:p w:rsidR="00000000" w:rsidDel="00000000" w:rsidP="00000000" w:rsidRDefault="00000000" w:rsidRPr="00000000" w14:paraId="00000033">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cereal_data_categorical["mfr"].value_counts().plot(kind="pie") </w:t>
      </w:r>
    </w:p>
    <w:p w:rsidR="00000000" w:rsidDel="00000000" w:rsidP="00000000" w:rsidRDefault="00000000" w:rsidRPr="00000000" w14:paraId="00000034">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cereal_data_categorical["type"].value_counts().plot(kind="pie")</w:t>
      </w:r>
    </w:p>
    <w:p w:rsidR="00000000" w:rsidDel="00000000" w:rsidP="00000000" w:rsidRDefault="00000000" w:rsidRPr="00000000" w14:paraId="00000035">
      <w:pPr>
        <w:spacing w:after="80" w:line="360" w:lineRule="auto"/>
        <w:jc w:val="both"/>
        <w:rPr>
          <w:rFonts w:ascii="Merriweather" w:cs="Merriweather" w:eastAsia="Merriweather" w:hAnsi="Merriweather"/>
          <w:sz w:val="18"/>
          <w:szCs w:val="18"/>
        </w:rPr>
      </w:pPr>
      <w:r w:rsidDel="00000000" w:rsidR="00000000" w:rsidRPr="00000000">
        <w:rPr>
          <w:rFonts w:ascii="Courier New" w:cs="Courier New" w:eastAsia="Courier New" w:hAnsi="Courier New"/>
          <w:b w:val="1"/>
          <w:color w:val="ff9900"/>
          <w:sz w:val="18"/>
          <w:szCs w:val="18"/>
          <w:rtl w:val="0"/>
        </w:rPr>
        <w:t xml:space="preserve">#bar-charts</w:t>
      </w:r>
      <w:r w:rsidDel="00000000" w:rsidR="00000000" w:rsidRPr="00000000">
        <w:rPr>
          <w:rtl w:val="0"/>
        </w:rPr>
      </w:r>
    </w:p>
    <w:p w:rsidR="00000000" w:rsidDel="00000000" w:rsidP="00000000" w:rsidRDefault="00000000" w:rsidRPr="00000000" w14:paraId="00000036">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sns.catplot(x="mfr",kind="count",color="orange",data=cereal_data_categorical,order=cereal_data_categorical['mfr'].value_counts().index)</w:t>
      </w:r>
    </w:p>
    <w:p w:rsidR="00000000" w:rsidDel="00000000" w:rsidP="00000000" w:rsidRDefault="00000000" w:rsidRPr="00000000" w14:paraId="00000037">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sns.catplot(x="type",kind="count",color="orange",data=cereal_data_categorical,order=cereal_data_categorical['type'].value_counts().index)</w:t>
      </w:r>
    </w:p>
    <w:p w:rsidR="00000000" w:rsidDel="00000000" w:rsidP="00000000" w:rsidRDefault="00000000" w:rsidRPr="00000000" w14:paraId="00000038">
      <w:pPr>
        <w:spacing w:after="80" w:line="360" w:lineRule="auto"/>
        <w:jc w:val="both"/>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39">
      <w:pPr>
        <w:spacing w:after="80" w:line="360" w:lineRule="auto"/>
        <w:jc w:val="both"/>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3A">
      <w:pPr>
        <w:spacing w:after="80" w:line="360" w:lineRule="auto"/>
        <w:jc w:val="both"/>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3B">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w:t>
      </w:r>
    </w:p>
    <w:p w:rsidR="00000000" w:rsidDel="00000000" w:rsidP="00000000" w:rsidRDefault="00000000" w:rsidRPr="00000000" w14:paraId="0000003C">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9337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505200"/>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340100"/>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276600"/>
            <wp:effectExtent b="0" l="0" r="0" t="0"/>
            <wp:docPr id="1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009900"/>
            <wp:effectExtent b="0" l="0" r="0" t="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22580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600700" cy="3124200"/>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6007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044700"/>
            <wp:effectExtent b="0" l="0" r="0" t="0"/>
            <wp:docPr id="1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048000"/>
            <wp:effectExtent b="0" l="0" r="0" t="0"/>
            <wp:docPr id="1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035300"/>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 </w:t>
      </w:r>
    </w:p>
    <w:p w:rsidR="00000000" w:rsidDel="00000000" w:rsidP="00000000" w:rsidRDefault="00000000" w:rsidRPr="00000000" w14:paraId="00000047">
      <w:pPr>
        <w:spacing w:after="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Visualisation of Cereal Dataset was completed using pandas and seaborn.</w:t>
      </w:r>
    </w:p>
    <w:sectPr>
      <w:headerReference r:id="rId31" w:type="default"/>
      <w:pgSz w:h="16838" w:w="11906" w:orient="portrait"/>
      <w:pgMar w:bottom="1440" w:top="113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Bookman Old Style"/>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513"/>
        <w:tab w:val="right" w:pos="9026"/>
      </w:tabs>
      <w:spacing w:after="0" w:line="240" w:lineRule="auto"/>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GOA COLLEGE OF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elative_frequency" TargetMode="External"/><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requency_distribution" TargetMode="External"/><Relationship Id="rId26" Type="http://schemas.openxmlformats.org/officeDocument/2006/relationships/image" Target="media/image7.png"/><Relationship Id="rId25" Type="http://schemas.openxmlformats.org/officeDocument/2006/relationships/image" Target="media/image9.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 Id="rId31" Type="http://schemas.openxmlformats.org/officeDocument/2006/relationships/header" Target="header1.xml"/><Relationship Id="rId30" Type="http://schemas.openxmlformats.org/officeDocument/2006/relationships/image" Target="media/image12.png"/><Relationship Id="rId11" Type="http://schemas.openxmlformats.org/officeDocument/2006/relationships/hyperlink" Target="https://en.wikipedia.org/wiki/Data_binning" TargetMode="External"/><Relationship Id="rId10" Type="http://schemas.openxmlformats.org/officeDocument/2006/relationships/hyperlink" Target="https://en.wikipedia.org/wiki/Karl_Pearson" TargetMode="External"/><Relationship Id="rId13" Type="http://schemas.openxmlformats.org/officeDocument/2006/relationships/hyperlink" Target="https://en.wikipedia.org/wiki/Interval_(mathematics)" TargetMode="External"/><Relationship Id="rId12" Type="http://schemas.openxmlformats.org/officeDocument/2006/relationships/hyperlink" Target="https://en.wikipedia.org/wiki/Data_binning" TargetMode="External"/><Relationship Id="rId15" Type="http://schemas.openxmlformats.org/officeDocument/2006/relationships/hyperlink" Target="https://en.wikipedia.org/wiki/Normalization_(statistics)" TargetMode="External"/><Relationship Id="rId14" Type="http://schemas.openxmlformats.org/officeDocument/2006/relationships/hyperlink" Target="https://en.wikipedia.org/wiki/Frequency_(statistics)" TargetMode="External"/><Relationship Id="rId17" Type="http://schemas.openxmlformats.org/officeDocument/2006/relationships/image" Target="media/image3.png"/><Relationship Id="rId16" Type="http://schemas.openxmlformats.org/officeDocument/2006/relationships/hyperlink" Target="https://en.wikipedia.org/wiki/Categorization" TargetMode="External"/><Relationship Id="rId19" Type="http://schemas.openxmlformats.org/officeDocument/2006/relationships/hyperlink" Target="https://en.wikipedia.org/wiki/Probability_density_function" TargetMode="External"/><Relationship Id="rId18" Type="http://schemas.openxmlformats.org/officeDocument/2006/relationships/hyperlink" Target="https://en.wikipedia.org/wiki/Density_esti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