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Search Discoverability</w:t>
        <w:br/>
        <w:t>and Entity SEO</w:t>
      </w:r>
    </w:p>
    <w:p>
      <w:pPr>
        <w:jc w:val="center"/>
      </w:pPr>
      <w:r>
        <w:rPr>
          <w:b/>
          <w:color w:val="FF6600"/>
        </w:rPr>
        <w:t>WEEKLY MILESTONE REPORT 09  |  17 JULY 2026</w:t>
      </w:r>
    </w:p>
    <w:p>
      <w:pPr>
        <w:pStyle w:val="Heading1"/>
      </w:pPr>
      <w:r>
        <w:t>Executive summary</w:t>
      </w:r>
    </w:p>
    <w:p>
      <w:r>
        <w:t>This milestone strengthens the relationship between the Toolkit name, Toolkit Africa, its official digital profiles, and its practical training programmes. The implementation prioritises branded and course-intent searches such as Toolkit Africa, Toolkit welding, MIG/MAG welding training, and MIG/MAG welding training in Kenya. Search position cannot be guaranteed for the globally ambiguous single word 'toolkit'; the work establishes the technical and content signals required to compete for relevant branded intent.</w:t>
      </w:r>
    </w:p>
    <w:p>
      <w:pPr>
        <w:pStyle w:val="Heading1"/>
      </w:pPr>
      <w:r>
        <w:t>Implementation completed</w:t>
      </w:r>
    </w:p>
    <w:p>
      <w:pPr>
        <w:pStyle w:val="ListBullet"/>
      </w:pPr>
      <w:r>
        <w:t>Added Organization and EducationalOrganization structured data with Toolkit Africa's official name, recognised aliases, logo, contact details, Kikuyu location, and social profiles.</w:t>
      </w:r>
    </w:p>
    <w:p>
      <w:pPr>
        <w:pStyle w:val="ListBullet"/>
      </w:pPr>
      <w:r>
        <w:t>Added WebSite entity data identifying Toolkit and Toolkit for Skills and Innovation as alternate names of the Toolkit Africa website.</w:t>
      </w:r>
    </w:p>
    <w:p>
      <w:pPr>
        <w:pStyle w:val="ListBullet"/>
      </w:pPr>
      <w:r>
        <w:t>Added Course structured data to enabled modern and legacy course pages, connecting each course to Toolkit Africa as its provider.</w:t>
      </w:r>
    </w:p>
    <w:p>
      <w:pPr>
        <w:pStyle w:val="ListBullet"/>
      </w:pPr>
      <w:r>
        <w:t>Optimised the MIG/MAG course title and meta description for practical training intent, Kenya relevance, Toolkit branding, and the Kikuyu location.</w:t>
      </w:r>
    </w:p>
    <w:p>
      <w:pPr>
        <w:pStyle w:val="ListBullet"/>
      </w:pPr>
      <w:r>
        <w:t>Removed remaining public MIG/MAG wording that described the programme as fabrication and aligned headings and outcomes with the approved course name.</w:t>
      </w:r>
    </w:p>
    <w:p>
      <w:pPr>
        <w:pStyle w:val="ListBullet"/>
      </w:pPr>
      <w:r>
        <w:t>Added visible course FAQs covering location, current fees and intakes, and application steps without publishing unconfirmed pricing.</w:t>
      </w:r>
    </w:p>
    <w:p>
      <w:pPr>
        <w:pStyle w:val="ListBullet"/>
      </w:pPr>
      <w:r>
        <w:t>Expanded llms.txt discovery content with Toolkit brand aliases and a direct canonical reference to MIG/MAG Welding training.</w:t>
      </w:r>
    </w:p>
    <w:p>
      <w:pPr>
        <w:pStyle w:val="Heading1"/>
      </w:pPr>
      <w:r>
        <w:t>Search target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A68"/>
          </w:tcPr>
          <w:p>
            <w:r>
              <w:rPr>
                <w:b/>
                <w:color w:val="FFFFFF"/>
              </w:rPr>
              <w:t>Search intent</w:t>
            </w:r>
          </w:p>
        </w:tc>
        <w:tc>
          <w:tcPr>
            <w:tcW w:type="dxa" w:w="3389"/>
            <w:shd w:fill="006A68"/>
          </w:tcPr>
          <w:p>
            <w:r>
              <w:rPr>
                <w:b/>
                <w:color w:val="FFFFFF"/>
              </w:rPr>
              <w:t>Primary destination</w:t>
            </w:r>
          </w:p>
        </w:tc>
        <w:tc>
          <w:tcPr>
            <w:tcW w:type="dxa" w:w="3389"/>
            <w:shd w:fill="006A68"/>
          </w:tcPr>
          <w:p>
            <w:r>
              <w:rPr>
                <w:b/>
                <w:color w:val="FFFFFF"/>
              </w:rPr>
              <w:t>Signal implemented</w:t>
            </w:r>
          </w:p>
        </w:tc>
      </w:tr>
      <w:tr>
        <w:tc>
          <w:tcPr>
            <w:tcW w:type="dxa" w:w="3389"/>
          </w:tcPr>
          <w:p>
            <w:r>
              <w:t>Toolkit / Toolkit Africa</w:t>
            </w:r>
          </w:p>
        </w:tc>
        <w:tc>
          <w:tcPr>
            <w:tcW w:type="dxa" w:w="3389"/>
          </w:tcPr>
          <w:p>
            <w:r>
              <w:t>Homepage</w:t>
            </w:r>
          </w:p>
        </w:tc>
        <w:tc>
          <w:tcPr>
            <w:tcW w:type="dxa" w:w="3389"/>
          </w:tcPr>
          <w:p>
            <w:r>
              <w:t>Organization, WebSite aliases, official profiles</w:t>
            </w:r>
          </w:p>
        </w:tc>
      </w:tr>
      <w:tr>
        <w:tc>
          <w:tcPr>
            <w:tcW w:type="dxa" w:w="3389"/>
          </w:tcPr>
          <w:p>
            <w:r>
              <w:t>Toolkit courses</w:t>
            </w:r>
          </w:p>
        </w:tc>
        <w:tc>
          <w:tcPr>
            <w:tcW w:type="dxa" w:w="3389"/>
          </w:tcPr>
          <w:p>
            <w:r>
              <w:t>Course directory</w:t>
            </w:r>
          </w:p>
        </w:tc>
        <w:tc>
          <w:tcPr>
            <w:tcW w:type="dxa" w:w="3389"/>
          </w:tcPr>
          <w:p>
            <w:r>
              <w:t>Internal hierarchy and provider relationship</w:t>
            </w:r>
          </w:p>
        </w:tc>
      </w:tr>
      <w:tr>
        <w:tc>
          <w:tcPr>
            <w:tcW w:type="dxa" w:w="3389"/>
          </w:tcPr>
          <w:p>
            <w:r>
              <w:t>Toolkit welding</w:t>
            </w:r>
          </w:p>
        </w:tc>
        <w:tc>
          <w:tcPr>
            <w:tcW w:type="dxa" w:w="3389"/>
          </w:tcPr>
          <w:p>
            <w:r>
              <w:t>MIG/MAG Welding page</w:t>
            </w:r>
          </w:p>
        </w:tc>
        <w:tc>
          <w:tcPr>
            <w:tcW w:type="dxa" w:w="3389"/>
          </w:tcPr>
          <w:p>
            <w:r>
              <w:t>Dedicated metadata, H1, Course schema</w:t>
            </w:r>
          </w:p>
        </w:tc>
      </w:tr>
      <w:tr>
        <w:tc>
          <w:tcPr>
            <w:tcW w:type="dxa" w:w="3389"/>
          </w:tcPr>
          <w:p>
            <w:r>
              <w:t>MIG MAG welding Kenya</w:t>
            </w:r>
          </w:p>
        </w:tc>
        <w:tc>
          <w:tcPr>
            <w:tcW w:type="dxa" w:w="3389"/>
          </w:tcPr>
          <w:p>
            <w:r>
              <w:t>MIG/MAG Welding page</w:t>
            </w:r>
          </w:p>
        </w:tc>
        <w:tc>
          <w:tcPr>
            <w:tcW w:type="dxa" w:w="3389"/>
          </w:tcPr>
          <w:p>
            <w:r>
              <w:t>Training intent, Kenya and Kikuyu relevance</w:t>
            </w:r>
          </w:p>
        </w:tc>
      </w:tr>
      <w:tr>
        <w:tc>
          <w:tcPr>
            <w:tcW w:type="dxa" w:w="3389"/>
          </w:tcPr>
          <w:p>
            <w:r>
              <w:t>Toolkit course fees / intake</w:t>
            </w:r>
          </w:p>
        </w:tc>
        <w:tc>
          <w:tcPr>
            <w:tcW w:type="dxa" w:w="3389"/>
          </w:tcPr>
          <w:p>
            <w:r>
              <w:t>Course pages and Admissions</w:t>
            </w:r>
          </w:p>
        </w:tc>
        <w:tc>
          <w:tcPr>
            <w:tcW w:type="dxa" w:w="3389"/>
          </w:tcPr>
          <w:p>
            <w:r>
              <w:t>Visible FAQ and admissions verification</w:t>
            </w:r>
          </w:p>
        </w:tc>
      </w:tr>
    </w:tbl>
    <w:p>
      <w:pPr>
        <w:pStyle w:val="Heading1"/>
      </w:pPr>
      <w:r>
        <w:t>Validation record</w:t>
      </w:r>
    </w:p>
    <w:p>
      <w:pPr>
        <w:pStyle w:val="ListBullet"/>
      </w:pPr>
      <w:r>
        <w:t>All modified PHP files passed php -l syntax validation.</w:t>
      </w:r>
    </w:p>
    <w:p>
      <w:pPr>
        <w:pStyle w:val="ListBullet"/>
      </w:pPr>
      <w:r>
        <w:t>The rendered MIG/MAG page returned HTTP 200 in the local WordPress environment.</w:t>
      </w:r>
    </w:p>
    <w:p>
      <w:pPr>
        <w:pStyle w:val="ListBullet"/>
      </w:pPr>
      <w:r>
        <w:t>Rendered title verified: MIG/MAG Welding Training in Kenya | Toolkit Africa.</w:t>
      </w:r>
    </w:p>
    <w:p>
      <w:pPr>
        <w:pStyle w:val="ListBullet"/>
      </w:pPr>
      <w:r>
        <w:t>Rendered description verified with practical MIG/MAG training, Toolkit Africa, Kikuyu, Kenya, workshop and VR-supported learning terms.</w:t>
      </w:r>
    </w:p>
    <w:p>
      <w:pPr>
        <w:pStyle w:val="ListBullet"/>
      </w:pPr>
      <w:r>
        <w:t>Rendered JSON-LD verified for Organization, EducationalOrganization, official aliases and Course provider relationships.</w:t>
      </w:r>
    </w:p>
    <w:p>
      <w:pPr>
        <w:pStyle w:val="ListBullet"/>
      </w:pPr>
      <w:r>
        <w:t>Git whitespace validation completed with no theme-source errors.</w:t>
      </w:r>
    </w:p>
    <w:p>
      <w:pPr>
        <w:pStyle w:val="Heading1"/>
      </w:pPr>
      <w:r>
        <w:t>Indexing and authority follow-up</w:t>
      </w:r>
    </w:p>
    <w:p>
      <w:r>
        <w:t>Technical SEO makes the pages understandable and eligible for indexing; ranking for broad terms also depends on Google recrawling the main domain, consistent organisation profiles, Search Console ownership, local business signals, authoritative references and relevant backlinks. After main-domain rollout, the XML sitemap should be resubmitted in Google Search Console and priority URLs should be requested for indexing.</w:t>
      </w:r>
    </w:p>
    <w:p>
      <w:pPr>
        <w:pStyle w:val="Heading1"/>
      </w:pPr>
      <w:r>
        <w:t>Governance</w:t>
      </w:r>
    </w:p>
    <w:p>
      <w:pPr>
        <w:pStyle w:val="ListBullet"/>
      </w:pPr>
      <w:r>
        <w:t>Course names remain controlled by the approved Toolkit catalogue.</w:t>
      </w:r>
    </w:p>
    <w:p>
      <w:pPr>
        <w:pStyle w:val="ListBullet"/>
      </w:pPr>
      <w:r>
        <w:t>Fees, schedules and availability remain subject to Admissions confirmation.</w:t>
      </w:r>
    </w:p>
    <w:p>
      <w:pPr>
        <w:pStyle w:val="ListBullet"/>
      </w:pPr>
      <w:r>
        <w:t>No future pricing was exposed through metadata, visible FAQs or structured data.</w:t>
      </w:r>
    </w:p>
    <w:p>
      <w:pPr>
        <w:pStyle w:val="ListBullet"/>
      </w:pPr>
      <w:r>
        <w:t>Existing public URLs were retained to avoid unnecessary redirects and loss of accumulated search signals.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Toolkit Africa | Search Discoverability and Entity SEO | 17 July 2026 | Confidential project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6A68"/>
        <w:sz w:val="16"/>
      </w:rPr>
      <w:t>TOOLKIT AFRICA  /  WEBSITE MODERNISATION  /  WMR-09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B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