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5281F"/>
          <w:sz w:val="48"/>
        </w:rPr>
        <w:t>Production Activation and Main-Domain Stabilisation</w:t>
      </w:r>
    </w:p>
    <w:p>
      <w:pPr>
        <w:jc w:val="center"/>
      </w:pPr>
      <w:r>
        <w:rPr>
          <w:rFonts w:ascii="Aptos" w:hAnsi="Aptos"/>
          <w:color w:val="969E2A"/>
          <w:sz w:val="22"/>
        </w:rPr>
        <w:t>Controlled child-theme rollout, rollback preservation, cache correction, and responsive navigation acceptance</w:t>
      </w:r>
    </w:p>
    <w:p>
      <w:pPr>
        <w:spacing w:before="240" w:after="100"/>
      </w:pPr>
      <w:r>
        <w:rPr>
          <w:rFonts w:ascii="Aptos Display" w:hAnsi="Aptos Display"/>
          <w:b/>
          <w:color w:val="006A68"/>
          <w:sz w:val="30"/>
        </w:rPr>
        <w:t>Executive milestone</w:t>
      </w:r>
    </w:p>
    <w:p>
      <w:pPr>
        <w:spacing w:after="120" w:line="259" w:lineRule="auto"/>
      </w:pPr>
      <w:r>
        <w:rPr>
          <w:rFonts w:ascii="Aptos" w:hAnsi="Aptos"/>
          <w:color w:val="25281F"/>
          <w:sz w:val="19"/>
        </w:rPr>
        <w:t>The approved modern child theme was activated on the existing main-domain WordPress installation. WordPress core, the production database, plugins, uploads, parent theme, and legacy content were retained. The rollout switch remains the immediate presentation rollback mechanism.</w:t>
      </w:r>
    </w:p>
    <w:p>
      <w:pPr>
        <w:spacing w:before="240" w:after="100"/>
      </w:pPr>
      <w:r>
        <w:rPr>
          <w:rFonts w:ascii="Aptos Display" w:hAnsi="Aptos Display"/>
          <w:b/>
          <w:color w:val="006A68"/>
          <w:sz w:val="30"/>
        </w:rPr>
        <w:t>Completed work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Synchronized the reviewed Eduma child theme through certificate-verified FTPS without reinstalling WordPress.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Enabled the modern redesign while retaining the 2026 catalogue and September pricing switches in the disabled state.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Purged a stale LiteSpeed object that caused the unparameterized public URL to continue serving the legacy interface.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Corrected desktop navigation flow, duplicate dropdown presentation, sticky-header spacing, logo separation, right-side balance, and mobile logo clipping.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Preserved production rollback copies and exact desktop/mobile screenshot evidence outside temporary storage.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Confirmed main-domain modern pages, course routes, logo, security headers, REST user protection, assistant surface, and HTTPS assets.</w:t>
      </w:r>
    </w:p>
    <w:p>
      <w:pPr>
        <w:spacing w:before="240" w:after="100"/>
      </w:pPr>
      <w:r>
        <w:rPr>
          <w:rFonts w:ascii="Aptos Display" w:hAnsi="Aptos Display"/>
          <w:b/>
          <w:color w:val="006A68"/>
          <w:sz w:val="30"/>
        </w:rPr>
        <w:t>Deployment controls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06A6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083"/>
            <w:vAlign w:val="center"/>
            <w:shd w:fill="006A68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Recorded state</w:t>
            </w:r>
          </w:p>
        </w:tc>
      </w:tr>
      <w:tr>
        <w:tc>
          <w:tcPr>
            <w:tcW w:type="dxa" w:w="5083"/>
            <w:vAlign w:val="center"/>
            <w:shd w:fill="F4F6EF"/>
          </w:tcPr>
          <w:p>
            <w:r/>
            <w:r>
              <w:rPr>
                <w:rFonts w:ascii="Aptos" w:hAnsi="Aptos"/>
                <w:b/>
                <w:color w:val="25281F"/>
                <w:sz w:val="18"/>
              </w:rPr>
              <w:t>WordPress installation</w:t>
            </w:r>
          </w:p>
        </w:tc>
        <w:tc>
          <w:tcPr>
            <w:tcW w:type="dxa" w:w="5083"/>
            <w:vAlign w:val="center"/>
            <w:shd w:fill="F4F6EF"/>
          </w:tcPr>
          <w:p>
            <w:r/>
            <w:r>
              <w:rPr>
                <w:rFonts w:ascii="Aptos" w:hAnsi="Aptos"/>
                <w:b w:val="0"/>
                <w:color w:val="25281F"/>
                <w:sz w:val="18"/>
              </w:rPr>
              <w:t>Retained; no reinstall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25281F"/>
                <w:sz w:val="18"/>
              </w:rPr>
              <w:t>Production database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5281F"/>
                <w:sz w:val="18"/>
              </w:rPr>
              <w:t>Retained; demo database not imported</w:t>
            </w:r>
          </w:p>
        </w:tc>
      </w:tr>
      <w:tr>
        <w:tc>
          <w:tcPr>
            <w:tcW w:type="dxa" w:w="5083"/>
            <w:vAlign w:val="center"/>
            <w:shd w:fill="F4F6EF"/>
          </w:tcPr>
          <w:p>
            <w:r/>
            <w:r>
              <w:rPr>
                <w:rFonts w:ascii="Aptos" w:hAnsi="Aptos"/>
                <w:b/>
                <w:color w:val="25281F"/>
                <w:sz w:val="18"/>
              </w:rPr>
              <w:t>Modern redesign</w:t>
            </w:r>
          </w:p>
        </w:tc>
        <w:tc>
          <w:tcPr>
            <w:tcW w:type="dxa" w:w="5083"/>
            <w:vAlign w:val="center"/>
            <w:shd w:fill="F4F6EF"/>
          </w:tcPr>
          <w:p>
            <w:r/>
            <w:r>
              <w:rPr>
                <w:rFonts w:ascii="Aptos" w:hAnsi="Aptos"/>
                <w:b w:val="0"/>
                <w:color w:val="25281F"/>
                <w:sz w:val="18"/>
              </w:rPr>
              <w:t>Enabled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25281F"/>
                <w:sz w:val="18"/>
              </w:rPr>
              <w:t>2026 catalogue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5281F"/>
                <w:sz w:val="18"/>
              </w:rPr>
              <w:t>Disabled</w:t>
            </w:r>
          </w:p>
        </w:tc>
      </w:tr>
      <w:tr>
        <w:tc>
          <w:tcPr>
            <w:tcW w:type="dxa" w:w="5083"/>
            <w:vAlign w:val="center"/>
            <w:shd w:fill="F4F6EF"/>
          </w:tcPr>
          <w:p>
            <w:r/>
            <w:r>
              <w:rPr>
                <w:rFonts w:ascii="Aptos" w:hAnsi="Aptos"/>
                <w:b/>
                <w:color w:val="25281F"/>
                <w:sz w:val="18"/>
              </w:rPr>
              <w:t>September pricing</w:t>
            </w:r>
          </w:p>
        </w:tc>
        <w:tc>
          <w:tcPr>
            <w:tcW w:type="dxa" w:w="5083"/>
            <w:vAlign w:val="center"/>
            <w:shd w:fill="F4F6EF"/>
          </w:tcPr>
          <w:p>
            <w:r/>
            <w:r>
              <w:rPr>
                <w:rFonts w:ascii="Aptos" w:hAnsi="Aptos"/>
                <w:b w:val="0"/>
                <w:color w:val="25281F"/>
                <w:sz w:val="18"/>
              </w:rPr>
              <w:t>Disabled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color w:val="25281F"/>
                <w:sz w:val="18"/>
              </w:rPr>
              <w:t>Immediate rollback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color w:val="25281F"/>
                <w:sz w:val="18"/>
              </w:rPr>
              <w:t>Disable redesign switch and purge LiteSpeed</w:t>
            </w:r>
          </w:p>
        </w:tc>
      </w:tr>
      <w:tr>
        <w:tc>
          <w:tcPr>
            <w:tcW w:type="dxa" w:w="5083"/>
            <w:vAlign w:val="center"/>
            <w:shd w:fill="F4F6EF"/>
          </w:tcPr>
          <w:p>
            <w:r/>
            <w:r>
              <w:rPr>
                <w:rFonts w:ascii="Aptos" w:hAnsi="Aptos"/>
                <w:b/>
                <w:color w:val="25281F"/>
                <w:sz w:val="18"/>
              </w:rPr>
              <w:t>Accepted commit</w:t>
            </w:r>
          </w:p>
        </w:tc>
        <w:tc>
          <w:tcPr>
            <w:tcW w:type="dxa" w:w="5083"/>
            <w:vAlign w:val="center"/>
            <w:shd w:fill="F4F6EF"/>
          </w:tcPr>
          <w:p>
            <w:r/>
            <w:r>
              <w:rPr>
                <w:rFonts w:ascii="Aptos" w:hAnsi="Aptos"/>
                <w:b w:val="0"/>
                <w:color w:val="25281F"/>
                <w:sz w:val="18"/>
              </w:rPr>
              <w:t>7f5c5b3 - Finalize production header layout</w:t>
            </w:r>
          </w:p>
        </w:tc>
      </w:tr>
    </w:tbl>
    <w:p>
      <w:pPr>
        <w:spacing w:before="240" w:after="100"/>
      </w:pPr>
      <w:r>
        <w:rPr>
          <w:rFonts w:ascii="Aptos Display" w:hAnsi="Aptos Display"/>
          <w:b/>
          <w:color w:val="006A68"/>
          <w:sz w:val="30"/>
        </w:rPr>
        <w:t>Validation and evidence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Exact public homepage verified after cache purge, including subsequent LiteSpeed cache hits.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Desktop acceptance covered 1440 and 1366 pixel layouts; mobile acceptance covered 390 pixels.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HSTS, nosniff, frame, referrer, and permissions headers remained present.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Temporary cPanel purge jobs, markers, activation scripts, and test credentials were removed after use.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46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header-balanced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46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06657"/>
          <w:sz w:val="16"/>
        </w:rPr>
        <w:t>Accepted main-domain desktop header and hero, captured 20 July 2026.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29615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header-balanced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2961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06657"/>
          <w:sz w:val="16"/>
        </w:rPr>
        <w:t>Accepted main-domain mobile header and hero, captured 20 July 2026.</w:t>
      </w:r>
    </w:p>
    <w:p>
      <w:pPr>
        <w:spacing w:before="240" w:after="100"/>
      </w:pPr>
      <w:r>
        <w:rPr>
          <w:rFonts w:ascii="Aptos Display" w:hAnsi="Aptos Display"/>
          <w:b/>
          <w:color w:val="006A68"/>
          <w:sz w:val="30"/>
        </w:rPr>
        <w:t>Residual work at close of date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Authenticated visual acceptance of future Toolkit Control changes requires an existing WordPress administrator session.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Search Console and Bing Webmaster ownership, query reporting, and search-performance ingestion remain separate follow-up work.</w:t>
      </w:r>
    </w:p>
    <w:p>
      <w:pPr>
        <w:pStyle w:val="ListBullet"/>
        <w:spacing w:after="60"/>
      </w:pPr>
      <w:r>
        <w:rPr>
          <w:rFonts w:ascii="Aptos" w:hAnsi="Aptos"/>
          <w:color w:val="25281F"/>
          <w:sz w:val="19"/>
        </w:rPr>
        <w:t>The application adapter was not part of this production activation.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Toolkit Africa | Website Modernisation Programme | Internal Milestone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1800"/>
      <w:gridCol w:w="8280"/>
    </w:tblGrid>
    <w:tr>
      <w:tc>
        <w:tcPr>
          <w:tcW w:type="dxa" w:w="5040"/>
        </w:tcPr>
        <w:p>
          <w:r>
            <w:drawing>
              <wp:inline xmlns:a="http://schemas.openxmlformats.org/drawingml/2006/main" xmlns:pic="http://schemas.openxmlformats.org/drawingml/2006/picture">
                <wp:extent cx="658368" cy="4740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oolkit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368" cy="4740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Aptos" w:hAnsi="Aptos"/>
              <w:b/>
              <w:color w:val="006A68"/>
              <w:sz w:val="18"/>
            </w:rPr>
            <w:t>WMR-11</w:t>
            <w:br/>
            <w:t>20 July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