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5281F"/>
          <w:sz w:val="48"/>
        </w:rPr>
        <w:t>Enquiries, Website Poll, Chatbot and Admin Operations</w:t>
      </w:r>
    </w:p>
    <w:p>
      <w:pPr>
        <w:jc w:val="center"/>
      </w:pPr>
      <w:r>
        <w:rPr>
          <w:rFonts w:ascii="Aptos" w:hAnsi="Aptos"/>
          <w:color w:val="969E2A"/>
          <w:sz w:val="22"/>
        </w:rPr>
        <w:t>First-party visitor support, feedback reporting, response-path optimization, and application-layer status</w:t>
      </w:r>
    </w:p>
    <w:p>
      <w:pPr>
        <w:spacing w:before="240" w:after="100"/>
      </w:pPr>
      <w:r>
        <w:rPr>
          <w:rFonts w:ascii="Aptos Display" w:hAnsi="Aptos Display"/>
          <w:b/>
          <w:color w:val="006A68"/>
          <w:sz w:val="30"/>
        </w:rPr>
        <w:t>Executive milestone</w:t>
      </w:r>
    </w:p>
    <w:p>
      <w:pPr>
        <w:spacing w:after="120" w:line="259" w:lineRule="auto"/>
      </w:pPr>
      <w:r>
        <w:rPr>
          <w:rFonts w:ascii="Aptos" w:hAnsi="Aptos"/>
          <w:color w:val="25281F"/>
          <w:sz w:val="19"/>
        </w:rPr>
        <w:t>Toolkit gained a first-party support workflow across the redesigned website. Visitors can request assistance and rate the website; authorized administrators can manage enquiries, poll results, chatbot content, rollout state, and analytics from Toolkit Control.</w:t>
      </w:r>
    </w:p>
    <w:p>
      <w:pPr>
        <w:spacing w:before="240" w:after="100"/>
      </w:pPr>
      <w:r>
        <w:rPr>
          <w:rFonts w:ascii="Aptos Display" w:hAnsi="Aptos Display"/>
          <w:b/>
          <w:color w:val="006A68"/>
          <w:sz w:val="30"/>
        </w:rPr>
        <w:t>Completed modules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Private WordPress enquiry records with visitor contact, source page, message, date, and new/in-progress/resolved workflow.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Configurable five-point website poll covering design, navigation, content, speed, and mobile improvements.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Poll reporting for response totals, average rating, rating distribution, and improvement-area mentions.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Administrator controls for assistant availability, welcome text, common answers, poll availability, poll question, and guidance.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Operational Toolkit Control overview with enquiry count, poll count, assistant state, rollout controls, system status, and dedicated analytics link.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Assistant made available across redesigned pages instead of only the homepage.</w:t>
      </w:r>
    </w:p>
    <w:p>
      <w:pPr>
        <w:spacing w:before="240" w:after="100"/>
      </w:pPr>
      <w:r>
        <w:rPr>
          <w:rFonts w:ascii="Aptos Display" w:hAnsi="Aptos Display"/>
          <w:b/>
          <w:color w:val="006A68"/>
          <w:sz w:val="30"/>
        </w:rPr>
        <w:t>Performance improvements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Embedded chatbot configuration into the page payload, removing the first-open REST configuration delay.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Moved enquiry email notification to a scheduled WordPress event after record storage so SMTP does not block the visitor response.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Moved 30-day metric aggregation away from the first Toolkit Control screen into the dedicated Site analytics page.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Measured the optimized labelled demo enquiry at HTTP 201 in 1.44 seconds.</w:t>
      </w:r>
    </w:p>
    <w:p>
      <w:pPr>
        <w:spacing w:before="240" w:after="100"/>
      </w:pPr>
      <w:r>
        <w:rPr>
          <w:rFonts w:ascii="Aptos Display" w:hAnsi="Aptos Display"/>
          <w:b/>
          <w:color w:val="006A68"/>
          <w:sz w:val="30"/>
        </w:rPr>
        <w:t>Security and privacy controls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06A6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083"/>
            <w:vAlign w:val="center"/>
            <w:shd w:fill="006A6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Recorded state</w:t>
            </w:r>
          </w:p>
        </w:tc>
      </w:tr>
      <w:tr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Public record exposure</w:t>
            </w:r>
          </w:p>
        </w:tc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Disabled; enquiry and poll records are private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Request 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Same-site Origin/Referer enforcement</w:t>
            </w:r>
          </w:p>
        </w:tc>
      </w:tr>
      <w:tr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Abuse controls</w:t>
            </w:r>
          </w:p>
        </w:tc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Per-IP rate limits, honeypot, and field limits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Input handling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Allow-lists and WordPress sanitization</w:t>
            </w:r>
          </w:p>
        </w:tc>
      </w:tr>
      <w:tr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Enquiry consent</w:t>
            </w:r>
          </w:p>
        </w:tc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Required before storage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Administrator access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manage_options plus WordPress nonces</w:t>
            </w:r>
          </w:p>
        </w:tc>
      </w:tr>
      <w:tr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Visitor profiling</w:t>
            </w:r>
          </w:p>
        </w:tc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No raw IP, replay, fingerprint, or keystroke capture</w:t>
            </w:r>
          </w:p>
        </w:tc>
      </w:tr>
    </w:tbl>
    <w:p>
      <w:pPr>
        <w:spacing w:before="240" w:after="100"/>
      </w:pPr>
      <w:r>
        <w:rPr>
          <w:rFonts w:ascii="Aptos Display" w:hAnsi="Aptos Display"/>
          <w:b/>
          <w:color w:val="006A68"/>
          <w:sz w:val="30"/>
        </w:rPr>
        <w:t>Validation record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PHP and JavaScript syntax checks passed.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Demo enquiry persistence returned HTTP 201.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Demo poll persistence returned HTTP 201 after correcting the internal post-type key to WordPress's 20-character limit.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Invalid-origin submissions returned HTTP 403 on demo and production.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Production browser interaction passed panel opening, six actions, complete enquiry fields, five ratings, five improvement areas, and poll comment.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Production desktop/mobile rendering, support configuration, admin stylesheet, security headers, and LiteSpeed cache response passed.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Three clearly labelled system-test records remain on demo for administrator inspection: two enquiries and one poll response.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46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-hom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46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06657"/>
          <w:sz w:val="16"/>
        </w:rPr>
        <w:t>Main-domain desktop verification with the Toolkit support launcher, captured 23 July 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29615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-home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2961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06657"/>
          <w:sz w:val="16"/>
        </w:rPr>
        <w:t>Main-domain mobile verification with the compact Toolkit support launcher, captured 23 July 2026.</w:t>
      </w:r>
    </w:p>
    <w:p>
      <w:pPr>
        <w:spacing w:before="240" w:after="100"/>
      </w:pPr>
      <w:r>
        <w:rPr>
          <w:rFonts w:ascii="Aptos Display" w:hAnsi="Aptos Display"/>
          <w:b/>
          <w:color w:val="006A68"/>
          <w:sz w:val="30"/>
        </w:rPr>
        <w:t>Application-layer status - not deployed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Local implementation includes a branded six-step form and same-origin Mzizi campus, course, intake, and submission adapters.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Implemented safeguards include field allow-listing, server-side selection revalidation, rate limiting, honeypot, Turnstile hooks, and an explicit submission feature flag.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Current fail-closed behavior opens the official Mzizi portal and confirms that locally entered data was not transmitted.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Production activation still requires approved Mzizi authorization, environment-managed Turnstile keys, non-production contract testing, accessibility and failure-path testing, privacy approval, and rollback acceptance.</w:t>
      </w:r>
    </w:p>
    <w:p>
      <w:pPr>
        <w:spacing w:before="240" w:after="100"/>
      </w:pPr>
      <w:r>
        <w:rPr>
          <w:rFonts w:ascii="Aptos Display" w:hAnsi="Aptos Display"/>
          <w:b/>
          <w:color w:val="006A68"/>
          <w:sz w:val="30"/>
        </w:rPr>
        <w:t>Next dated workstream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Privacy-conscious user journey and conversion reporting with defined retention and role access.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Google Search Console and Bing Webmaster integration, indexing coverage, branded/non-branded query reporting, and technical SEO monitoring.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Authenticated administrator visual acceptance using an existing WordPress administrator account.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Toolkit Africa | Website Modernisation Programme | Internal Milestone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1800"/>
      <w:gridCol w:w="8280"/>
    </w:tblGrid>
    <w:tr>
      <w:tc>
        <w:tcPr>
          <w:tcW w:type="dxa" w:w="5040"/>
        </w:tcPr>
        <w:p>
          <w:r>
            <w:drawing>
              <wp:inline xmlns:a="http://schemas.openxmlformats.org/drawingml/2006/main" xmlns:pic="http://schemas.openxmlformats.org/drawingml/2006/picture">
                <wp:extent cx="658368" cy="4740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oolkit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368" cy="4740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ptos" w:hAnsi="Aptos"/>
              <w:b/>
              <w:color w:val="006A68"/>
              <w:sz w:val="18"/>
            </w:rPr>
            <w:t>WMR-12</w:t>
            <w:br/>
            <w:t>23 July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