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1086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08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20"/>
        </w:rPr>
        <w:t>EXECUTIVE MEETING SUMMARY</w:t>
      </w:r>
    </w:p>
    <w:p>
      <w:pPr>
        <w:pStyle w:val="Title"/>
        <w:jc w:val="center"/>
      </w:pPr>
      <w:r>
        <w:t>Website Modernisation</w:t>
        <w:br/>
        <w:t>Programme Update</w:t>
      </w:r>
    </w:p>
    <w:p>
      <w:pPr>
        <w:jc w:val="center"/>
      </w:pPr>
      <w:r>
        <w:rPr>
          <w:b/>
          <w:color w:val="969E2A"/>
          <w:sz w:val="28"/>
        </w:rPr>
        <w:t>Milestones from June to 17 July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2"/>
            <w:tcBorders>
              <w:top w:val="single" w:sz="6" w:color="969E2A"/>
              <w:left w:val="single" w:sz="6" w:color="969E2A"/>
              <w:bottom w:val="single" w:sz="6" w:color="969E2A"/>
              <w:right w:val="single" w:sz="6" w:color="969E2A"/>
            </w:tcBorders>
          </w:tcPr>
          <w:p>
            <w:pPr>
              <w:jc w:val="center"/>
            </w:pPr>
            <w:r>
              <w:rPr>
                <w:b/>
              </w:rPr>
              <w:t>Purpose</w:t>
              <w:br/>
            </w:r>
            <w:r>
              <w:t>Summarise the new demo experience, delivery progress, corrected course-page coverage, SEO and measurement foundations, and the controlled route to main-domain rollout.</w:t>
            </w:r>
          </w:p>
        </w:tc>
      </w:tr>
    </w:tbl>
    <w:p/>
    <w:p>
      <w:pPr>
        <w:jc w:val="center"/>
      </w:pPr>
      <w:r>
        <w:rPr>
          <w:i/>
        </w:rPr>
        <w:t>Prepared for project and management review</w:t>
      </w:r>
    </w:p>
    <w:p>
      <w:r>
        <w:br w:type="page"/>
      </w:r>
    </w:p>
    <w:p>
      <w:pPr>
        <w:pStyle w:val="Heading1"/>
      </w:pPr>
      <w:r>
        <w:t>Executive Position</w:t>
      </w:r>
    </w:p>
    <w:p>
      <w:r>
        <w:t>The demo site has moved from a builder-heavy, visually inconsistent experience to a child-theme implementation with controlled templates, a defined brand system and measurable user journeys. The main domain has not been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Meeting note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Homepage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Modernised</w:t>
            </w:r>
          </w:p>
        </w:tc>
        <w:tc>
          <w:tcPr>
            <w:tcW w:type="dxa" w:w="3389"/>
          </w:tcPr>
          <w:p>
            <w:r>
              <w:t>Hero, 2026 banner, Who We Are, impact metrics, video, pathways, testimonials and assistant.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About Us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Modernised</w:t>
            </w:r>
          </w:p>
        </w:tc>
        <w:tc>
          <w:tcPr>
            <w:tcW w:type="dxa" w:w="3389"/>
          </w:tcPr>
          <w:p>
            <w:r>
              <w:t>Institutional story, programme context and all 18 current team members.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Courses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Corrected</w:t>
            </w:r>
          </w:p>
        </w:tc>
        <w:tc>
          <w:tcPr>
            <w:tcW w:type="dxa" w:w="3389"/>
          </w:tcPr>
          <w:p>
            <w:r>
              <w:t>Directory plus eight public legacy course URLs now use the shared modern detail structure.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Blog / Notice Board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Modernised</w:t>
            </w:r>
          </w:p>
        </w:tc>
        <w:tc>
          <w:tcPr>
            <w:tcW w:type="dxa" w:w="3389"/>
          </w:tcPr>
          <w:p>
            <w:r>
              <w:t>Styled content discovery, working search and category filters.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Apply / Contact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Modernised</w:t>
            </w:r>
          </w:p>
        </w:tc>
        <w:tc>
          <w:tcPr>
            <w:tcW w:type="dxa" w:w="3389"/>
          </w:tcPr>
          <w:p>
            <w:r>
              <w:t>Clear admissions route, support details and measured conversion interactions.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  <w:t>SEO / Analytics</w:t>
            </w:r>
          </w:p>
        </w:tc>
        <w:tc>
          <w:tcPr>
            <w:tcW w:type="dxa" w:w="3389"/>
          </w:tcPr>
          <w:p>
            <w:r>
              <w:rPr>
                <w:color w:val="969E2A"/>
              </w:rPr>
              <w:t>Implemented</w:t>
            </w:r>
          </w:p>
        </w:tc>
        <w:tc>
          <w:tcPr>
            <w:tcW w:type="dxa" w:w="3389"/>
          </w:tcPr>
          <w:p>
            <w:r>
              <w:t>Curated metadata, schema support, canonical handling and first-party engagement metrics.</w:t>
            </w:r>
          </w:p>
        </w:tc>
      </w:tr>
    </w:tbl>
    <w:p>
      <w:pPr>
        <w:pStyle w:val="Heading2"/>
      </w:pPr>
      <w:r>
        <w:t>Immediate correction completed</w:t>
      </w:r>
    </w:p>
    <w:p>
      <w:r>
        <w:t>All eight public course-related URLs now resolve through the modern course-page renderer locally. This closes the gap where only Welding had received the intended redesign while other pages remained blank or legacy-styled.</w:t>
      </w:r>
    </w:p>
    <w:p>
      <w:r>
        <w:br w:type="page"/>
      </w:r>
    </w:p>
    <w:p>
      <w:pPr>
        <w:pStyle w:val="Heading1"/>
      </w:pPr>
      <w:r>
        <w:t>Experience Transformation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MAIN SITE</w:t>
            </w:r>
          </w:p>
        </w:tc>
        <w:tc>
          <w:tcPr>
            <w:tcW w:type="dxa" w:w="5083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 SITE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02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6"/>
        </w:rPr>
        <w:t>Homepage comparison: clearer hierarchy, deeper engagement flow and brand-led calls to action.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MAIN SITE</w:t>
            </w:r>
          </w:p>
        </w:tc>
        <w:tc>
          <w:tcPr>
            <w:tcW w:type="dxa" w:w="5083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 SITE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02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abou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02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abou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6"/>
        </w:rPr>
        <w:t>About comparison: stronger institutional narrative and a complete, modern Our Team presentation.</w:t>
      </w:r>
    </w:p>
    <w:p>
      <w:r>
        <w:br w:type="page"/>
      </w:r>
    </w:p>
    <w:p>
      <w:pPr>
        <w:pStyle w:val="Heading1"/>
      </w:pPr>
      <w:r>
        <w:t>Courses and Admissions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CURRENT MAIN SITE</w:t>
            </w:r>
          </w:p>
        </w:tc>
        <w:tc>
          <w:tcPr>
            <w:tcW w:type="dxa" w:w="5083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 SITE</w:t>
            </w:r>
          </w:p>
        </w:tc>
      </w:tr>
      <w:tr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02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cours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7025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course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70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6"/>
        </w:rPr>
        <w:t>Course discovery comparison: focused directory, accurate imagery and consistent programme navigation.</w:t>
      </w:r>
    </w:p>
    <w:p>
      <w:pPr>
        <w:pStyle w:val="Heading2"/>
      </w:pPr>
      <w:r>
        <w:t>Course pages covered</w:t>
      </w:r>
    </w:p>
    <w:p>
      <w:pPr>
        <w:pStyle w:val="ListBullet"/>
        <w:ind w:left="317"/>
      </w:pPr>
      <w:r>
        <w:t>Welding and Fabrication; Renewable Energy; Organic Farming Skills; Digital Skills.</w:t>
      </w:r>
    </w:p>
    <w:p>
      <w:pPr>
        <w:pStyle w:val="ListBullet"/>
        <w:ind w:left="317"/>
      </w:pPr>
      <w:r>
        <w:t>Recognition of Prior Learning; Consultancy and Research; Online Training Portal - Jielimishe.</w:t>
      </w:r>
    </w:p>
    <w:p>
      <w:pPr>
        <w:pStyle w:val="ListBullet"/>
        <w:ind w:left="317"/>
      </w:pPr>
      <w:r>
        <w:t>Training Welders with Virtual Reality, with welding-specific imagery and learning focus.</w:t>
      </w:r>
    </w:p>
    <w:p>
      <w:pPr>
        <w:pStyle w:val="ListBullet"/>
        <w:ind w:left="317"/>
      </w:pPr>
      <w:r>
        <w:t>Course names and existing URLs are retained. Pricing remains controlled separately so unapproved future fees are not exposed.</w:t>
      </w:r>
    </w:p>
    <w:p>
      <w:r>
        <w:br w:type="page"/>
      </w:r>
    </w:p>
    <w:p>
      <w:pPr>
        <w:pStyle w:val="Heading1"/>
      </w:pPr>
      <w:r>
        <w:t>SEO, Performance and Measurement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71800" cy="17830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o-cours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r>
              <w:rPr>
                <w:b/>
                <w:color w:val="006A68"/>
              </w:rPr>
              <w:t>Implemented foundation</w:t>
              <w:br/>
            </w:r>
            <w:r>
              <w:t>Curated page titles and descriptions, canonical course URLs, breadcrumb hierarchy, social imagery and schema integration support stronger search interpretation and sharing.</w:t>
            </w:r>
          </w:p>
          <w:p>
            <w:pPr>
              <w:pStyle w:val="ListBullet"/>
            </w:pPr>
            <w:r>
              <w:t>Legacy builder assets removed from rebuilt page payloads.</w:t>
            </w:r>
          </w:p>
          <w:p>
            <w:pPr>
              <w:pStyle w:val="ListBullet"/>
            </w:pPr>
            <w:r>
              <w:t>First-party page view, scroll depth, dwell, interaction and performance events.</w:t>
            </w:r>
          </w:p>
          <w:p>
            <w:pPr>
              <w:pStyle w:val="ListBullet"/>
            </w:pPr>
            <w:r>
              <w:t>Toolkit Control panel for feature switches and aggregate site metrics.</w:t>
            </w:r>
          </w:p>
        </w:tc>
      </w:tr>
    </w:tbl>
    <w:p>
      <w:pPr>
        <w:pStyle w:val="Heading2"/>
      </w:pPr>
      <w:r>
        <w:t>Course-page verification - 17 July 2026</w:t>
      </w:r>
    </w:p>
    <w:p>
      <w:r>
        <w:t>Eight of eight local course URLs returned HTTP 200 with modern markup. Warm responses measured approximately 0.35-0.47 seconds and page HTML reduced to about 54 KB from roughly 155-205 KB on the legacy render. These are local smoke-test figures, not production Core Web Vitals.</w:t>
      </w:r>
    </w:p>
    <w:p>
      <w:r>
        <w:br w:type="page"/>
      </w:r>
    </w:p>
    <w:p>
      <w:pPr>
        <w:pStyle w:val="Heading1"/>
      </w:pPr>
      <w:r>
        <w:t>Outreach Materials and Visual Assets</w:t>
      </w:r>
    </w:p>
    <w:p>
      <w:r>
        <w:t>Existing campaign material supports the wider communications ecosystem. It is referenced here as a supporting asset source, not as a replacement for the website's approved content hierarchy.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-tve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-welding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438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-opportunity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969E2A"/>
              </w:rPr>
              <w:t>TVET/VTC poster</w:t>
              <w:br/>
            </w:r>
            <w:r>
              <w:t>Training outreach</w:t>
            </w:r>
          </w:p>
        </w:tc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969E2A"/>
              </w:rPr>
              <w:t>University welding poster</w:t>
              <w:br/>
            </w:r>
            <w:r>
              <w:t>Welding awareness</w:t>
            </w:r>
          </w:p>
        </w:tc>
        <w:tc>
          <w:tcPr>
            <w:tcW w:type="dxa" w:w="3389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969E2A"/>
              </w:rPr>
              <w:t>Opportunity poster</w:t>
              <w:br/>
            </w:r>
            <w:r>
              <w:t>Campaign support</w:t>
            </w:r>
          </w:p>
        </w:tc>
      </w:tr>
    </w:tbl>
    <w:p>
      <w:pPr>
        <w:pStyle w:val="Heading2"/>
      </w:pPr>
      <w:r>
        <w:t>Additional approved-use candidates</w:t>
      </w:r>
    </w:p>
    <w:p>
      <w:pPr>
        <w:pStyle w:val="ListBullet"/>
        <w:ind w:left="317"/>
      </w:pPr>
      <w:r>
        <w:t>High-resolution solar training photography for renewable-energy course pages and admissions stories.</w:t>
      </w:r>
    </w:p>
    <w:p>
      <w:pPr>
        <w:pStyle w:val="ListBullet"/>
        <w:ind w:left="317"/>
      </w:pPr>
      <w:r>
        <w:t>Virtual-reality workshop photography for advanced welding and VR-supported learning pages.</w:t>
      </w:r>
    </w:p>
    <w:p>
      <w:pPr>
        <w:pStyle w:val="ListBullet"/>
        <w:ind w:left="317"/>
      </w:pPr>
      <w:r>
        <w:t>Graduation photography for learner outcomes, impact stories and testimonial context.</w:t>
      </w:r>
    </w:p>
    <w:p>
      <w:pPr>
        <w:pStyle w:val="ListBullet"/>
        <w:ind w:left="317"/>
      </w:pPr>
      <w:r>
        <w:t>All selected web assets should be cropped for context, resized responsively, compressed, and supplied with accurate alternative text before publication.</w:t>
      </w:r>
    </w:p>
    <w:p>
      <w:r>
        <w:br w:type="page"/>
      </w:r>
    </w:p>
    <w:p>
      <w:pPr>
        <w:pStyle w:val="Heading1"/>
      </w:pPr>
      <w:r>
        <w:t>Rollout Controls and Meeting Decisions</w:t>
      </w:r>
    </w:p>
    <w:p>
      <w:pPr>
        <w:pStyle w:val="Heading2"/>
      </w:pPr>
      <w:r>
        <w:t>Deployment safeguards</w:t>
      </w:r>
    </w:p>
    <w:p>
      <w:pPr>
        <w:pStyle w:val="ListBullet"/>
        <w:ind w:left="317"/>
      </w:pPr>
      <w:r>
        <w:t>Demo changes are deployed only after local route, asset, syntax and visual checks.</w:t>
      </w:r>
    </w:p>
    <w:p>
      <w:pPr>
        <w:pStyle w:val="ListBullet"/>
        <w:ind w:left="317"/>
      </w:pPr>
      <w:r>
        <w:t>A persistent latest-demo rollback is retained locally outside temporary storage.</w:t>
      </w:r>
    </w:p>
    <w:p>
      <w:pPr>
        <w:pStyle w:val="ListBullet"/>
        <w:ind w:left="317"/>
      </w:pPr>
      <w:r>
        <w:t>The redesign, 2026 catalogue and future pricing each have separate switches.</w:t>
      </w:r>
    </w:p>
    <w:p>
      <w:pPr>
        <w:pStyle w:val="ListBullet"/>
        <w:ind w:left="317"/>
      </w:pPr>
      <w:r>
        <w:t>The main-domain redesign defaults off and can be returned to the existing site immediately without deleting WordPress content.</w:t>
      </w:r>
    </w:p>
    <w:p>
      <w:pPr>
        <w:pStyle w:val="ListBullet"/>
        <w:ind w:left="317"/>
      </w:pPr>
      <w:r>
        <w:t>Main-domain rollout requires a fresh files/database backup, route acceptance checks and explicit authorization.</w:t>
      </w:r>
    </w:p>
    <w:p>
      <w:pPr>
        <w:pStyle w:val="Heading2"/>
      </w:pPr>
      <w:r>
        <w:t>Items requiring management confirmation</w:t>
      </w:r>
    </w:p>
    <w:p>
      <w:pPr>
        <w:pStyle w:val="ListBullet"/>
        <w:ind w:left="317"/>
      </w:pPr>
      <w:r>
        <w:t>Approve the corrected demo course-page presentation after visual review.</w:t>
      </w:r>
    </w:p>
    <w:p>
      <w:pPr>
        <w:pStyle w:val="ListBullet"/>
        <w:ind w:left="317"/>
      </w:pPr>
      <w:r>
        <w:t>Confirm final course visibility and current admissions wording before main-domain cutover.</w:t>
      </w:r>
    </w:p>
    <w:p>
      <w:pPr>
        <w:pStyle w:val="ListBullet"/>
        <w:ind w:left="317"/>
      </w:pPr>
      <w:r>
        <w:t>Approve the Mzizi field contract and a non-production submission test before building the application adapter.</w:t>
      </w:r>
    </w:p>
    <w:p>
      <w:pPr>
        <w:pStyle w:val="ListBullet"/>
        <w:ind w:left="317"/>
      </w:pPr>
      <w:r>
        <w:t>Schedule the controlled main-domain release only after demo acceptance is complete.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969E2A"/>
          </w:tcPr>
          <w:p>
            <w:pPr>
              <w:jc w:val="center"/>
            </w:pPr>
            <w:r>
              <w:rPr>
                <w:b/>
                <w:color w:val="FFFFFF"/>
              </w:rPr>
              <w:t>Recommended meeting outcome: approve the demo correction for inspection, retain the pricing gate, and continue through the documented main-domain readiness checklist.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6A68"/>
        <w:sz w:val="15"/>
      </w:rPr>
      <w:t>Website Modernisation Programme | 17 July 2026 | Internal meeting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FF6600"/>
        <w:sz w:val="16"/>
      </w:rPr>
      <w:t>TOOLKIT AFRICA  /  MEETING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2B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