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Homepage, Header and Brand Foundation</w:t>
      </w:r>
    </w:p>
    <w:p>
      <w:pPr>
        <w:jc w:val="center"/>
      </w:pPr>
      <w:r>
        <w:rPr>
          <w:b/>
          <w:color w:val="969E2A"/>
          <w:sz w:val="26"/>
        </w:rPr>
        <w:t>29 June-05 July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WMR-05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05 July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Delivered the first production-shaped WordPress experience: modern hero, feature strip, stable header, brand tokens and a rebuilt Who We Are section.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Delivered the first production-shaped WordPress experience: modern hero, feature strip, stable header, brand tokens and a rebuilt Who We Are section.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Hero system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Responsive carousel and dual CTA implementation.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Header/navigation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Primary menu and branded actions stabilised.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Who We Are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Existing organisational data retained in a modern layout.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Implemented an accessible three-slide hero with Apply CTA, pagination, pause, keyboard and swipe controls.</w:t>
      </w:r>
    </w:p>
    <w:p>
      <w:pPr>
        <w:pStyle w:val="ListBullet"/>
        <w:ind w:left="259" w:hanging="173"/>
      </w:pPr>
      <w:r>
        <w:t>Added the feature strip and corrected counter, arrow, overlay and scroll-cue behaviour.</w:t>
      </w:r>
    </w:p>
    <w:p>
      <w:pPr>
        <w:pStyle w:val="ListBullet"/>
        <w:ind w:left="259" w:hanging="173"/>
      </w:pPr>
      <w:r>
        <w:t>Stabilised navigation selection, logo sizing, dropdown spacing and Apply Now placement.</w:t>
      </w:r>
    </w:p>
    <w:p>
      <w:pPr>
        <w:pStyle w:val="ListBullet"/>
        <w:ind w:left="259" w:hanging="173"/>
      </w:pPr>
      <w:r>
        <w:t>Created shared brand tokens and introduced consistent component spacing and button treatment.</w:t>
      </w:r>
    </w:p>
    <w:p>
      <w:pPr>
        <w:pStyle w:val="ListBullet"/>
        <w:ind w:left="259" w:hanging="173"/>
      </w:pPr>
      <w:r>
        <w:t>Rebuilt Who We Are with the existing vision, mission, quick links and five impact figures.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6716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1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abou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abou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Legacy Elementor output still loaded behind the new homepage sections and required isolation.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Harden the child-theme boundary, remove blocking preloaders and validate local runtime behaviour.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29 June-05 July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Homepage, Header and Brand Foundation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2026-07-05T00:00:00Z</dcterms:created>
  <dcterms:modified xsi:type="dcterms:W3CDTF">2013-12-23T23:15:00Z</dcterms:modified>
  <cp:category/>
</cp:coreProperties>
</file>