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Toolkit for Skills &amp; Innovation — Whole-Toolkit Briefing</w:t>
      </w:r>
    </w:p>
    <w:p>
      <w:pPr>
        <w:pStyle w:val="BodyText"/>
        <w:bidi w:val="0"/>
        <w:spacing w:before="0" w:after="283"/>
        <w:jc w:val="start"/>
        <w:rPr/>
      </w:pPr>
      <w:r>
        <w:rPr>
          <w:rStyle w:val="Strong"/>
        </w:rPr>
        <w:t>Date:</w:t>
      </w:r>
      <w:r>
        <w:rPr/>
        <w:t xml:space="preserve"> 28 August 2026</w:t>
        <w:br/>
      </w:r>
      <w:r>
        <w:rPr>
          <w:rStyle w:val="Strong"/>
        </w:rPr>
        <w:t>Scope:</w:t>
      </w:r>
      <w:r>
        <w:rPr/>
        <w:t xml:space="preserve"> </w:t>
      </w:r>
      <w:r>
        <w:rPr>
          <w:rStyle w:val="SourceText"/>
        </w:rPr>
        <w:t>/home/t316/Desktop/Projects_father/toolkit</w:t>
      </w:r>
      <w:r>
        <w:rPr/>
        <w:t xml:space="preserve"> and its working projects, operational documents, reports and poster/image library.</w:t>
        <w:br/>
      </w:r>
      <w:r>
        <w:rPr>
          <w:rStyle w:val="Strong"/>
        </w:rPr>
        <w:t>Audience:</w:t>
      </w:r>
      <w:r>
        <w:rPr/>
        <w:t xml:space="preserve"> management, ICT, admissions, finance, academic and communications leads.</w:t>
      </w:r>
    </w:p>
    <w:p>
      <w:pPr>
        <w:pStyle w:val="Heading2"/>
        <w:numPr>
          <w:ilvl w:val="0"/>
          <w:numId w:val="0"/>
        </w:numPr>
        <w:bidi w:val="0"/>
        <w:spacing w:before="200" w:after="120"/>
        <w:jc w:val="start"/>
        <w:rPr/>
      </w:pPr>
      <w:r>
        <w:rPr/>
        <w:t>Executive position</w:t>
      </w:r>
    </w:p>
    <w:p>
      <w:pPr>
        <w:pStyle w:val="BodyText"/>
        <w:bidi w:val="0"/>
        <w:spacing w:before="0" w:after="283"/>
        <w:jc w:val="start"/>
        <w:rPr/>
      </w:pPr>
      <w:r>
        <w:rPr/>
        <w:t>Toolkit now has a live public website, a deployed Reception system, a local Virtual Campus pilot with verified live video, a Smart Lecturer presentation prototype, a staff reporting platform, a guarded chatbot, a graphics workspace, prospectus/course materials and a documented strategic ICT plan.</w:t>
      </w:r>
    </w:p>
    <w:p>
      <w:pPr>
        <w:pStyle w:val="BodyText"/>
        <w:bidi w:val="0"/>
        <w:spacing w:before="0" w:after="283"/>
        <w:jc w:val="start"/>
        <w:rPr/>
      </w:pPr>
      <w:r>
        <w:rPr/>
        <w:t>The strongest operational systems are the public website and Reception. The Virtual Campus is functioning locally and its live-class path has passed a real multi-user browser rehearsal, but it is not yet deployed because the production host, LiveKit/TURN, captions, mail, academic data and policy gates are still awaiting approval. The remaining work is therefore a controlled transition from tested foundations to governed production operation—not a claim that every prototype is already a live institutional service.</w:t>
      </w:r>
    </w:p>
    <w:p>
      <w:pPr>
        <w:pStyle w:val="Heading2"/>
        <w:numPr>
          <w:ilvl w:val="0"/>
          <w:numId w:val="0"/>
        </w:numPr>
        <w:bidi w:val="0"/>
        <w:spacing w:before="200" w:after="120"/>
        <w:jc w:val="start"/>
        <w:rPr/>
      </w:pPr>
      <w:r>
        <w:rPr/>
        <w:t>Workspace inventory</w:t>
      </w:r>
    </w:p>
    <w:p>
      <w:pPr>
        <w:pStyle w:val="BodyText"/>
        <w:bidi w:val="0"/>
        <w:spacing w:before="0" w:after="283"/>
        <w:jc w:val="start"/>
        <w:rPr/>
      </w:pPr>
      <w:r>
        <w:rPr/>
        <w:t>The Toolkit directory contains the following major areas:</w:t>
      </w:r>
    </w:p>
    <w:tbl>
      <w:tblPr>
        <w:tblW w:w="10205" w:type="dxa"/>
        <w:jc w:val="start"/>
        <w:tblInd w:w="0" w:type="dxa"/>
        <w:tblLayout w:type="fixed"/>
        <w:tblCellMar>
          <w:top w:w="28" w:type="dxa"/>
          <w:start w:w="28" w:type="dxa"/>
          <w:bottom w:w="28" w:type="dxa"/>
          <w:end w:w="28" w:type="dxa"/>
        </w:tblCellMar>
      </w:tblPr>
      <w:tblGrid>
        <w:gridCol w:w="4051"/>
        <w:gridCol w:w="2590"/>
        <w:gridCol w:w="3564"/>
      </w:tblGrid>
      <w:tr>
        <w:trPr>
          <w:tblHeader w:val="true"/>
        </w:trPr>
        <w:tc>
          <w:tcPr>
            <w:tcW w:w="4051" w:type="dxa"/>
            <w:tcBorders/>
            <w:vAlign w:val="center"/>
          </w:tcPr>
          <w:p>
            <w:pPr>
              <w:pStyle w:val="TableHeading"/>
              <w:suppressLineNumbers/>
              <w:bidi w:val="0"/>
              <w:spacing w:before="0" w:after="283"/>
              <w:jc w:val="center"/>
              <w:rPr/>
            </w:pPr>
            <w:r>
              <w:rPr/>
              <w:t>Area</w:t>
            </w:r>
          </w:p>
        </w:tc>
        <w:tc>
          <w:tcPr>
            <w:tcW w:w="2590" w:type="dxa"/>
            <w:tcBorders/>
            <w:vAlign w:val="center"/>
          </w:tcPr>
          <w:p>
            <w:pPr>
              <w:pStyle w:val="TableHeading"/>
              <w:suppressLineNumbers/>
              <w:bidi w:val="0"/>
              <w:spacing w:before="0" w:after="283"/>
              <w:jc w:val="center"/>
              <w:rPr/>
            </w:pPr>
            <w:r>
              <w:rPr/>
              <w:t>Purpose</w:t>
            </w:r>
          </w:p>
        </w:tc>
        <w:tc>
          <w:tcPr>
            <w:tcW w:w="3564" w:type="dxa"/>
            <w:tcBorders/>
            <w:vAlign w:val="center"/>
          </w:tcPr>
          <w:p>
            <w:pPr>
              <w:pStyle w:val="TableHeading"/>
              <w:suppressLineNumbers/>
              <w:bidi w:val="0"/>
              <w:spacing w:before="0" w:after="283"/>
              <w:jc w:val="center"/>
              <w:rPr/>
            </w:pPr>
            <w:r>
              <w:rPr/>
              <w:t>Current position</w:t>
            </w:r>
          </w:p>
        </w:tc>
      </w:tr>
      <w:tr>
        <w:trPr/>
        <w:tc>
          <w:tcPr>
            <w:tcW w:w="4051" w:type="dxa"/>
            <w:tcBorders/>
            <w:vAlign w:val="center"/>
          </w:tcPr>
          <w:p>
            <w:pPr>
              <w:pStyle w:val="TableContents"/>
              <w:bidi w:val="0"/>
              <w:spacing w:before="0" w:after="283"/>
              <w:jc w:val="start"/>
              <w:rPr/>
            </w:pPr>
            <w:r>
              <w:rPr>
                <w:rStyle w:val="SourceText"/>
              </w:rPr>
              <w:t>wordpress/</w:t>
            </w:r>
          </w:p>
        </w:tc>
        <w:tc>
          <w:tcPr>
            <w:tcW w:w="2590" w:type="dxa"/>
            <w:tcBorders/>
            <w:vAlign w:val="center"/>
          </w:tcPr>
          <w:p>
            <w:pPr>
              <w:pStyle w:val="TableContents"/>
              <w:bidi w:val="0"/>
              <w:spacing w:before="0" w:after="283"/>
              <w:jc w:val="start"/>
              <w:rPr/>
            </w:pPr>
            <w:r>
              <w:rPr/>
              <w:t>Public website, SEO, admissions/reception relay, reports, deployment and security records</w:t>
            </w:r>
          </w:p>
        </w:tc>
        <w:tc>
          <w:tcPr>
            <w:tcW w:w="3564" w:type="dxa"/>
            <w:tcBorders/>
            <w:vAlign w:val="center"/>
          </w:tcPr>
          <w:p>
            <w:pPr>
              <w:pStyle w:val="TableContents"/>
              <w:bidi w:val="0"/>
              <w:spacing w:before="0" w:after="283"/>
              <w:jc w:val="start"/>
              <w:rPr/>
            </w:pPr>
            <w:r>
              <w:rPr/>
              <w:t>Production website line with extensive verified release history; local tree contains ongoing transfer-script edits</w:t>
            </w:r>
          </w:p>
        </w:tc>
      </w:tr>
      <w:tr>
        <w:trPr/>
        <w:tc>
          <w:tcPr>
            <w:tcW w:w="4051" w:type="dxa"/>
            <w:tcBorders/>
            <w:vAlign w:val="center"/>
          </w:tcPr>
          <w:p>
            <w:pPr>
              <w:pStyle w:val="TableContents"/>
              <w:bidi w:val="0"/>
              <w:spacing w:before="0" w:after="283"/>
              <w:jc w:val="start"/>
              <w:rPr/>
            </w:pPr>
            <w:r>
              <w:rPr>
                <w:rStyle w:val="SourceText"/>
              </w:rPr>
              <w:t>reception-system/</w:t>
            </w:r>
          </w:p>
        </w:tc>
        <w:tc>
          <w:tcPr>
            <w:tcW w:w="2590" w:type="dxa"/>
            <w:tcBorders/>
            <w:vAlign w:val="center"/>
          </w:tcPr>
          <w:p>
            <w:pPr>
              <w:pStyle w:val="TableContents"/>
              <w:bidi w:val="0"/>
              <w:spacing w:before="0" w:after="283"/>
              <w:jc w:val="start"/>
              <w:rPr/>
            </w:pPr>
            <w:r>
              <w:rPr/>
              <w:t>Visitor check-in, applicant guidance, QR attribution and staff Reception Control</w:t>
            </w:r>
          </w:p>
        </w:tc>
        <w:tc>
          <w:tcPr>
            <w:tcW w:w="3564" w:type="dxa"/>
            <w:tcBorders/>
            <w:vAlign w:val="center"/>
          </w:tcPr>
          <w:p>
            <w:pPr>
              <w:pStyle w:val="TableContents"/>
              <w:bidi w:val="0"/>
              <w:spacing w:before="0" w:after="283"/>
              <w:jc w:val="start"/>
              <w:rPr/>
            </w:pPr>
            <w:r>
              <w:rPr/>
              <w:t xml:space="preserve">Release </w:t>
            </w:r>
            <w:r>
              <w:rPr>
                <w:rStyle w:val="SourceText"/>
              </w:rPr>
              <w:t>2026.08.25.1</w:t>
            </w:r>
            <w:r>
              <w:rPr/>
              <w:t xml:space="preserve"> deployed to demo and production; training and owner-input guides are documentation</w:t>
            </w:r>
          </w:p>
        </w:tc>
      </w:tr>
      <w:tr>
        <w:trPr/>
        <w:tc>
          <w:tcPr>
            <w:tcW w:w="4051" w:type="dxa"/>
            <w:tcBorders/>
            <w:vAlign w:val="center"/>
          </w:tcPr>
          <w:p>
            <w:pPr>
              <w:pStyle w:val="TableContents"/>
              <w:bidi w:val="0"/>
              <w:spacing w:before="0" w:after="283"/>
              <w:jc w:val="start"/>
              <w:rPr/>
            </w:pPr>
            <w:r>
              <w:rPr>
                <w:rStyle w:val="SourceText"/>
              </w:rPr>
              <w:t>SmartLecturer_VirtualCampus/</w:t>
            </w:r>
          </w:p>
        </w:tc>
        <w:tc>
          <w:tcPr>
            <w:tcW w:w="2590" w:type="dxa"/>
            <w:tcBorders/>
            <w:vAlign w:val="center"/>
          </w:tcPr>
          <w:p>
            <w:pPr>
              <w:pStyle w:val="TableContents"/>
              <w:bidi w:val="0"/>
              <w:spacing w:before="0" w:after="283"/>
              <w:jc w:val="start"/>
              <w:rPr/>
            </w:pPr>
            <w:r>
              <w:rPr/>
              <w:t>Smart Lecturer prototype and independent Laravel Virtual Campus</w:t>
            </w:r>
          </w:p>
        </w:tc>
        <w:tc>
          <w:tcPr>
            <w:tcW w:w="3564" w:type="dxa"/>
            <w:tcBorders/>
            <w:vAlign w:val="center"/>
          </w:tcPr>
          <w:p>
            <w:pPr>
              <w:pStyle w:val="TableContents"/>
              <w:bidi w:val="0"/>
              <w:spacing w:before="0" w:after="283"/>
              <w:jc w:val="start"/>
              <w:rPr/>
            </w:pPr>
            <w:r>
              <w:rPr/>
              <w:t>Prototype remains bounded; Virtual Campus is a local pilot with live video and assessment authoring verified</w:t>
            </w:r>
          </w:p>
        </w:tc>
      </w:tr>
      <w:tr>
        <w:trPr/>
        <w:tc>
          <w:tcPr>
            <w:tcW w:w="4051" w:type="dxa"/>
            <w:tcBorders/>
            <w:vAlign w:val="center"/>
          </w:tcPr>
          <w:p>
            <w:pPr>
              <w:pStyle w:val="TableContents"/>
              <w:bidi w:val="0"/>
              <w:spacing w:before="0" w:after="283"/>
              <w:jc w:val="start"/>
              <w:rPr/>
            </w:pPr>
            <w:r>
              <w:rPr>
                <w:rStyle w:val="SourceText"/>
              </w:rPr>
              <w:t>report-system/</w:t>
            </w:r>
          </w:p>
        </w:tc>
        <w:tc>
          <w:tcPr>
            <w:tcW w:w="2590" w:type="dxa"/>
            <w:tcBorders/>
            <w:vAlign w:val="center"/>
          </w:tcPr>
          <w:p>
            <w:pPr>
              <w:pStyle w:val="TableContents"/>
              <w:bidi w:val="0"/>
              <w:spacing w:before="0" w:after="283"/>
              <w:jc w:val="start"/>
              <w:rPr/>
            </w:pPr>
            <w:r>
              <w:rPr/>
              <w:t>Daily staff reporting, review/approval, dashboards, PDFs and role controls</w:t>
            </w:r>
          </w:p>
        </w:tc>
        <w:tc>
          <w:tcPr>
            <w:tcW w:w="3564" w:type="dxa"/>
            <w:tcBorders/>
            <w:vAlign w:val="center"/>
          </w:tcPr>
          <w:p>
            <w:pPr>
              <w:pStyle w:val="TableContents"/>
              <w:bidi w:val="0"/>
              <w:spacing w:before="0" w:after="283"/>
              <w:jc w:val="start"/>
              <w:rPr/>
            </w:pPr>
            <w:r>
              <w:rPr/>
              <w:t>Working Flask platform; proposed admissions/intake/minutes/incentive modules remain follow-up work</w:t>
            </w:r>
          </w:p>
        </w:tc>
      </w:tr>
      <w:tr>
        <w:trPr/>
        <w:tc>
          <w:tcPr>
            <w:tcW w:w="4051" w:type="dxa"/>
            <w:tcBorders/>
            <w:vAlign w:val="center"/>
          </w:tcPr>
          <w:p>
            <w:pPr>
              <w:pStyle w:val="TableContents"/>
              <w:bidi w:val="0"/>
              <w:spacing w:before="0" w:after="283"/>
              <w:jc w:val="start"/>
              <w:rPr/>
            </w:pPr>
            <w:r>
              <w:rPr>
                <w:rStyle w:val="SourceText"/>
              </w:rPr>
              <w:t>Chat-bot/</w:t>
            </w:r>
          </w:p>
        </w:tc>
        <w:tc>
          <w:tcPr>
            <w:tcW w:w="2590" w:type="dxa"/>
            <w:tcBorders/>
            <w:vAlign w:val="center"/>
          </w:tcPr>
          <w:p>
            <w:pPr>
              <w:pStyle w:val="TableContents"/>
              <w:bidi w:val="0"/>
              <w:spacing w:before="0" w:after="283"/>
              <w:jc w:val="start"/>
              <w:rPr/>
            </w:pPr>
            <w:r>
              <w:rPr/>
              <w:t>Toolkit FAQ, guarded assistant and application lead flow</w:t>
            </w:r>
          </w:p>
        </w:tc>
        <w:tc>
          <w:tcPr>
            <w:tcW w:w="3564" w:type="dxa"/>
            <w:tcBorders/>
            <w:vAlign w:val="center"/>
          </w:tcPr>
          <w:p>
            <w:pPr>
              <w:pStyle w:val="TableContents"/>
              <w:bidi w:val="0"/>
              <w:spacing w:before="0" w:after="283"/>
              <w:jc w:val="start"/>
              <w:rPr/>
            </w:pPr>
            <w:r>
              <w:rPr/>
              <w:t>Functional code with FAQ matching, application state machine, admin/API and metrics; production hardening remains required</w:t>
            </w:r>
          </w:p>
        </w:tc>
      </w:tr>
      <w:tr>
        <w:trPr/>
        <w:tc>
          <w:tcPr>
            <w:tcW w:w="4051" w:type="dxa"/>
            <w:tcBorders/>
            <w:vAlign w:val="center"/>
          </w:tcPr>
          <w:p>
            <w:pPr>
              <w:pStyle w:val="TableContents"/>
              <w:bidi w:val="0"/>
              <w:spacing w:before="0" w:after="283"/>
              <w:jc w:val="start"/>
              <w:rPr/>
            </w:pPr>
            <w:r>
              <w:rPr>
                <w:rStyle w:val="SourceText"/>
              </w:rPr>
              <w:t>graphics/</w:t>
            </w:r>
          </w:p>
        </w:tc>
        <w:tc>
          <w:tcPr>
            <w:tcW w:w="2590" w:type="dxa"/>
            <w:tcBorders/>
            <w:vAlign w:val="center"/>
          </w:tcPr>
          <w:p>
            <w:pPr>
              <w:pStyle w:val="TableContents"/>
              <w:bidi w:val="0"/>
              <w:spacing w:before="0" w:after="283"/>
              <w:jc w:val="start"/>
              <w:rPr/>
            </w:pPr>
            <w:r>
              <w:rPr/>
              <w:t>Brand-locked Photopea/graphics workspace</w:t>
            </w:r>
          </w:p>
        </w:tc>
        <w:tc>
          <w:tcPr>
            <w:tcW w:w="3564" w:type="dxa"/>
            <w:tcBorders/>
            <w:vAlign w:val="center"/>
          </w:tcPr>
          <w:p>
            <w:pPr>
              <w:pStyle w:val="TableContents"/>
              <w:bidi w:val="0"/>
              <w:spacing w:before="0" w:after="283"/>
              <w:jc w:val="start"/>
              <w:rPr/>
            </w:pPr>
            <w:r>
              <w:rPr/>
              <w:t>Brand configuration, approved logo/photo paths, working/completed artwork and health checks are present</w:t>
            </w:r>
          </w:p>
        </w:tc>
      </w:tr>
      <w:tr>
        <w:trPr/>
        <w:tc>
          <w:tcPr>
            <w:tcW w:w="4051" w:type="dxa"/>
            <w:tcBorders/>
            <w:vAlign w:val="center"/>
          </w:tcPr>
          <w:p>
            <w:pPr>
              <w:pStyle w:val="TableContents"/>
              <w:bidi w:val="0"/>
              <w:spacing w:before="0" w:after="283"/>
              <w:jc w:val="start"/>
              <w:rPr/>
            </w:pPr>
            <w:r>
              <w:rPr>
                <w:rStyle w:val="SourceText"/>
              </w:rPr>
              <w:t>imgs/</w:t>
            </w:r>
          </w:p>
        </w:tc>
        <w:tc>
          <w:tcPr>
            <w:tcW w:w="2590" w:type="dxa"/>
            <w:tcBorders/>
            <w:vAlign w:val="center"/>
          </w:tcPr>
          <w:p>
            <w:pPr>
              <w:pStyle w:val="TableContents"/>
              <w:bidi w:val="0"/>
              <w:spacing w:before="0" w:after="283"/>
              <w:jc w:val="start"/>
              <w:rPr/>
            </w:pPr>
            <w:r>
              <w:rPr/>
              <w:t>Posters, raw design sources, social assets, visitor passes, map and blog media</w:t>
            </w:r>
          </w:p>
        </w:tc>
        <w:tc>
          <w:tcPr>
            <w:tcW w:w="3564" w:type="dxa"/>
            <w:tcBorders/>
            <w:vAlign w:val="center"/>
          </w:tcPr>
          <w:p>
            <w:pPr>
              <w:pStyle w:val="TableContents"/>
              <w:bidi w:val="0"/>
              <w:spacing w:before="0" w:after="283"/>
              <w:jc w:val="start"/>
              <w:rPr/>
            </w:pPr>
            <w:r>
              <w:rPr/>
              <w:t>172 files, approximately 622.35 MB; editable XCF and print-ready outputs retained</w:t>
            </w:r>
          </w:p>
        </w:tc>
      </w:tr>
      <w:tr>
        <w:trPr/>
        <w:tc>
          <w:tcPr>
            <w:tcW w:w="4051" w:type="dxa"/>
            <w:tcBorders/>
            <w:vAlign w:val="center"/>
          </w:tcPr>
          <w:p>
            <w:pPr>
              <w:pStyle w:val="TableContents"/>
              <w:bidi w:val="0"/>
              <w:spacing w:before="0" w:after="283"/>
              <w:jc w:val="start"/>
              <w:rPr/>
            </w:pPr>
            <w:r>
              <w:rPr>
                <w:rStyle w:val="SourceText"/>
              </w:rPr>
              <w:t>prospectus/</w:t>
            </w:r>
            <w:r>
              <w:rPr/>
              <w:t xml:space="preserve">, </w:t>
            </w:r>
            <w:r>
              <w:rPr>
                <w:rStyle w:val="SourceText"/>
              </w:rPr>
              <w:t>documents/</w:t>
            </w:r>
          </w:p>
        </w:tc>
        <w:tc>
          <w:tcPr>
            <w:tcW w:w="2590" w:type="dxa"/>
            <w:tcBorders/>
            <w:vAlign w:val="center"/>
          </w:tcPr>
          <w:p>
            <w:pPr>
              <w:pStyle w:val="TableContents"/>
              <w:bidi w:val="0"/>
              <w:spacing w:before="0" w:after="283"/>
              <w:jc w:val="start"/>
              <w:rPr/>
            </w:pPr>
            <w:r>
              <w:rPr/>
              <w:t>Approved catalogue, prospectus and admissions documents</w:t>
            </w:r>
          </w:p>
        </w:tc>
        <w:tc>
          <w:tcPr>
            <w:tcW w:w="3564" w:type="dxa"/>
            <w:tcBorders/>
            <w:vAlign w:val="center"/>
          </w:tcPr>
          <w:p>
            <w:pPr>
              <w:pStyle w:val="TableContents"/>
              <w:bidi w:val="0"/>
              <w:spacing w:before="0" w:after="283"/>
              <w:jc w:val="start"/>
              <w:rPr/>
            </w:pPr>
            <w:r>
              <w:rPr/>
              <w:t>2026 catalogue/prospectus outputs available in DOCX/PDF form</w:t>
            </w:r>
          </w:p>
        </w:tc>
      </w:tr>
      <w:tr>
        <w:trPr/>
        <w:tc>
          <w:tcPr>
            <w:tcW w:w="4051" w:type="dxa"/>
            <w:tcBorders/>
            <w:vAlign w:val="center"/>
          </w:tcPr>
          <w:p>
            <w:pPr>
              <w:pStyle w:val="TableContents"/>
              <w:bidi w:val="0"/>
              <w:spacing w:before="0" w:after="283"/>
              <w:jc w:val="start"/>
              <w:rPr/>
            </w:pPr>
            <w:r>
              <w:rPr>
                <w:rStyle w:val="SourceText"/>
              </w:rPr>
              <w:t>web-redesign/</w:t>
            </w:r>
          </w:p>
        </w:tc>
        <w:tc>
          <w:tcPr>
            <w:tcW w:w="2590" w:type="dxa"/>
            <w:tcBorders/>
            <w:vAlign w:val="center"/>
          </w:tcPr>
          <w:p>
            <w:pPr>
              <w:pStyle w:val="TableContents"/>
              <w:bidi w:val="0"/>
              <w:spacing w:before="0" w:after="283"/>
              <w:jc w:val="start"/>
              <w:rPr/>
            </w:pPr>
            <w:r>
              <w:rPr/>
              <w:t>Separate Laravel redesign exploration</w:t>
            </w:r>
          </w:p>
        </w:tc>
        <w:tc>
          <w:tcPr>
            <w:tcW w:w="3564" w:type="dxa"/>
            <w:tcBorders/>
            <w:vAlign w:val="center"/>
          </w:tcPr>
          <w:p>
            <w:pPr>
              <w:pStyle w:val="TableContents"/>
              <w:bidi w:val="0"/>
              <w:spacing w:before="0" w:after="283"/>
              <w:jc w:val="start"/>
              <w:rPr/>
            </w:pPr>
            <w:r>
              <w:rPr/>
              <w:t>Scaffold and UI specification exist; application backend and content wiring remain incomplete</w:t>
            </w:r>
          </w:p>
        </w:tc>
      </w:tr>
      <w:tr>
        <w:trPr/>
        <w:tc>
          <w:tcPr>
            <w:tcW w:w="4051" w:type="dxa"/>
            <w:tcBorders/>
            <w:vAlign w:val="center"/>
          </w:tcPr>
          <w:p>
            <w:pPr>
              <w:pStyle w:val="TableContents"/>
              <w:bidi w:val="0"/>
              <w:spacing w:before="0" w:after="283"/>
              <w:jc w:val="start"/>
              <w:rPr/>
            </w:pPr>
            <w:r>
              <w:rPr>
                <w:rStyle w:val="SourceText"/>
              </w:rPr>
              <w:t>strategic-ict-roadmap/</w:t>
            </w:r>
          </w:p>
        </w:tc>
        <w:tc>
          <w:tcPr>
            <w:tcW w:w="2590" w:type="dxa"/>
            <w:tcBorders/>
            <w:vAlign w:val="center"/>
          </w:tcPr>
          <w:p>
            <w:pPr>
              <w:pStyle w:val="TableContents"/>
              <w:bidi w:val="0"/>
              <w:spacing w:before="0" w:after="283"/>
              <w:jc w:val="start"/>
              <w:rPr/>
            </w:pPr>
            <w:r>
              <w:rPr/>
              <w:t>August 2026–July 2027 portfolio roadmap</w:t>
            </w:r>
          </w:p>
        </w:tc>
        <w:tc>
          <w:tcPr>
            <w:tcW w:w="3564" w:type="dxa"/>
            <w:tcBorders/>
            <w:vAlign w:val="center"/>
          </w:tcPr>
          <w:p>
            <w:pPr>
              <w:pStyle w:val="TableContents"/>
              <w:bidi w:val="0"/>
              <w:spacing w:before="0" w:after="283"/>
              <w:jc w:val="start"/>
              <w:rPr/>
            </w:pPr>
            <w:r>
              <w:rPr/>
              <w:t>Draft planning envelope and sequencing for governance, recruitment, campus, HR and security</w:t>
            </w:r>
          </w:p>
        </w:tc>
      </w:tr>
      <w:tr>
        <w:trPr/>
        <w:tc>
          <w:tcPr>
            <w:tcW w:w="4051" w:type="dxa"/>
            <w:tcBorders/>
            <w:vAlign w:val="center"/>
          </w:tcPr>
          <w:p>
            <w:pPr>
              <w:pStyle w:val="TableContents"/>
              <w:bidi w:val="0"/>
              <w:spacing w:before="0" w:after="283"/>
              <w:jc w:val="start"/>
              <w:rPr/>
            </w:pPr>
            <w:r>
              <w:rPr>
                <w:rStyle w:val="SourceText"/>
              </w:rPr>
              <w:t>sms/</w:t>
            </w:r>
            <w:r>
              <w:rPr/>
              <w:t xml:space="preserve">, </w:t>
            </w:r>
            <w:r>
              <w:rPr>
                <w:rStyle w:val="SourceText"/>
              </w:rPr>
              <w:t>toolkit-private-storage/</w:t>
            </w:r>
          </w:p>
        </w:tc>
        <w:tc>
          <w:tcPr>
            <w:tcW w:w="2590" w:type="dxa"/>
            <w:tcBorders/>
            <w:vAlign w:val="center"/>
          </w:tcPr>
          <w:p>
            <w:pPr>
              <w:pStyle w:val="TableContents"/>
              <w:bidi w:val="0"/>
              <w:spacing w:before="0" w:after="283"/>
              <w:jc w:val="start"/>
              <w:rPr/>
            </w:pPr>
            <w:r>
              <w:rPr/>
              <w:t>Calling letters, private operational outputs and templates</w:t>
            </w:r>
          </w:p>
        </w:tc>
        <w:tc>
          <w:tcPr>
            <w:tcW w:w="3564" w:type="dxa"/>
            <w:tcBorders/>
            <w:vAlign w:val="center"/>
          </w:tcPr>
          <w:p>
            <w:pPr>
              <w:pStyle w:val="TableContents"/>
              <w:bidi w:val="0"/>
              <w:spacing w:before="0" w:after="283"/>
              <w:jc w:val="start"/>
              <w:rPr/>
            </w:pPr>
            <w:r>
              <w:rPr/>
              <w:t>Keep outside public webroots; do not mirror secrets or personal output to shared media folders</w:t>
            </w:r>
          </w:p>
        </w:tc>
      </w:tr>
    </w:tbl>
    <w:p>
      <w:pPr>
        <w:pStyle w:val="BodyText"/>
        <w:bidi w:val="0"/>
        <w:spacing w:before="0" w:after="283"/>
        <w:jc w:val="start"/>
        <w:rPr/>
      </w:pPr>
      <w:r>
        <w:rPr/>
        <w:t>Inventory totals include installed dependencies, caches and generated artifacts where those exist; they are not a measure of production code size.</w:t>
      </w:r>
    </w:p>
    <w:p>
      <w:pPr>
        <w:pStyle w:val="Heading2"/>
        <w:numPr>
          <w:ilvl w:val="0"/>
          <w:numId w:val="0"/>
        </w:numPr>
        <w:bidi w:val="0"/>
        <w:spacing w:before="200" w:after="120"/>
        <w:jc w:val="start"/>
        <w:rPr/>
      </w:pPr>
      <w:r>
        <w:rPr/>
        <w:t>1. Public website and admissions surface</w:t>
      </w:r>
    </w:p>
    <w:p>
      <w:pPr>
        <w:pStyle w:val="Heading3"/>
        <w:numPr>
          <w:ilvl w:val="0"/>
          <w:numId w:val="0"/>
        </w:numPr>
        <w:bidi w:val="0"/>
        <w:spacing w:before="140" w:after="120"/>
        <w:jc w:val="start"/>
        <w:rPr/>
      </w:pPr>
      <w:r>
        <w:rPr/>
        <w:t>What is working</w:t>
      </w:r>
    </w:p>
    <w:p>
      <w:pPr>
        <w:pStyle w:val="BodyText"/>
        <w:numPr>
          <w:ilvl w:val="0"/>
          <w:numId w:val="2"/>
        </w:numPr>
        <w:tabs>
          <w:tab w:val="clear" w:pos="1134"/>
          <w:tab w:val="left" w:pos="709" w:leader="none"/>
        </w:tabs>
        <w:bidi w:val="0"/>
        <w:spacing w:before="0" w:after="0"/>
        <w:ind w:hanging="283" w:start="709"/>
        <w:jc w:val="start"/>
        <w:rPr/>
      </w:pPr>
      <w:r>
        <w:rPr/>
        <w:t xml:space="preserve">Toolkit-branded WordPress child theme with responsive homepage, institutional pages, course pathways, stories, testimonials, gallery, footprint, graduation and contact experiences. </w:t>
      </w:r>
    </w:p>
    <w:p>
      <w:pPr>
        <w:pStyle w:val="BodyText"/>
        <w:numPr>
          <w:ilvl w:val="0"/>
          <w:numId w:val="2"/>
        </w:numPr>
        <w:tabs>
          <w:tab w:val="clear" w:pos="1134"/>
          <w:tab w:val="left" w:pos="709" w:leader="none"/>
        </w:tabs>
        <w:bidi w:val="0"/>
        <w:spacing w:before="0" w:after="0"/>
        <w:ind w:hanging="283" w:start="709"/>
        <w:jc w:val="start"/>
        <w:rPr/>
      </w:pPr>
      <w:r>
        <w:rPr/>
        <w:t xml:space="preserve">Approved course catalogue and pricing work is kept behind controlled switches where appropriate; the public site retains the external Mzizi application as the authoritative application system. </w:t>
      </w:r>
    </w:p>
    <w:p>
      <w:pPr>
        <w:pStyle w:val="BodyText"/>
        <w:numPr>
          <w:ilvl w:val="0"/>
          <w:numId w:val="2"/>
        </w:numPr>
        <w:tabs>
          <w:tab w:val="clear" w:pos="1134"/>
          <w:tab w:val="left" w:pos="709" w:leader="none"/>
        </w:tabs>
        <w:bidi w:val="0"/>
        <w:spacing w:before="0" w:after="0"/>
        <w:ind w:hanging="283" w:start="709"/>
        <w:jc w:val="start"/>
        <w:rPr/>
      </w:pPr>
      <w:r>
        <w:rPr/>
        <w:t xml:space="preserve">Technical SEO baseline includes canonical URLs, titles/descriptions, schema, sitemaps, demo no-index behavior, production indexing, AI discovery files and first-party aggregate metrics. </w:t>
      </w:r>
    </w:p>
    <w:p>
      <w:pPr>
        <w:pStyle w:val="BodyText"/>
        <w:numPr>
          <w:ilvl w:val="0"/>
          <w:numId w:val="2"/>
        </w:numPr>
        <w:tabs>
          <w:tab w:val="clear" w:pos="1134"/>
          <w:tab w:val="left" w:pos="709" w:leader="none"/>
        </w:tabs>
        <w:bidi w:val="0"/>
        <w:spacing w:before="0" w:after="0"/>
        <w:ind w:hanging="283" w:start="709"/>
        <w:jc w:val="start"/>
        <w:rPr/>
      </w:pPr>
      <w:r>
        <w:rPr/>
        <w:t xml:space="preserve">Website-to-Reception enquiries use a signed server-to-server relay. Applicant details use versioned authenticated encryption with legacy decryption support and a dry-run migration path. </w:t>
      </w:r>
    </w:p>
    <w:p>
      <w:pPr>
        <w:pStyle w:val="BodyText"/>
        <w:numPr>
          <w:ilvl w:val="0"/>
          <w:numId w:val="2"/>
        </w:numPr>
        <w:tabs>
          <w:tab w:val="clear" w:pos="1134"/>
          <w:tab w:val="left" w:pos="709" w:leader="none"/>
        </w:tabs>
        <w:bidi w:val="0"/>
        <w:ind w:hanging="283" w:start="709"/>
        <w:jc w:val="start"/>
        <w:rPr/>
      </w:pPr>
      <w:r>
        <w:rPr/>
        <w:t xml:space="preserve">Browser-free, demo-first deployment scripts preserve server drift, back up remote files and verify routes/assets after deployment. </w:t>
      </w:r>
    </w:p>
    <w:p>
      <w:pPr>
        <w:pStyle w:val="Heading3"/>
        <w:numPr>
          <w:ilvl w:val="0"/>
          <w:numId w:val="0"/>
        </w:numPr>
        <w:bidi w:val="0"/>
        <w:spacing w:before="140" w:after="120"/>
        <w:jc w:val="start"/>
        <w:rPr/>
      </w:pPr>
      <w:r>
        <w:rPr/>
        <w:t>Security containment already completed</w:t>
      </w:r>
    </w:p>
    <w:p>
      <w:pPr>
        <w:pStyle w:val="BodyText"/>
        <w:bidi w:val="0"/>
        <w:spacing w:before="0" w:after="283"/>
        <w:jc w:val="start"/>
        <w:rPr/>
      </w:pPr>
      <w:r>
        <w:rPr/>
        <w:t>The documented Element Pack Lite incident created nine unauthorized WordPress Administrator accounts through hijacked authenticated sessions. The containment work removed only those identified accounts, revoked affected sessions and application passwords, rotated WordPress salts/keys, quarantined the abandoned Eventer/Old Sites/addon artifacts and removed the abandoned cron/maintenance surface. Normal user accounts were preserved.</w:t>
      </w:r>
    </w:p>
    <w:p>
      <w:pPr>
        <w:pStyle w:val="BodyText"/>
        <w:bidi w:val="0"/>
        <w:spacing w:before="0" w:after="283"/>
        <w:jc w:val="start"/>
        <w:rPr/>
      </w:pPr>
      <w:r>
        <w:rPr/>
        <w:t>The recorded cPGuard scans reported zero infected files, including the post- containment scan. Livemesh Addons was found active with stored-XSS findings and was reversibly deactivated. Production remained live during containment.</w:t>
      </w:r>
    </w:p>
    <w:p>
      <w:pPr>
        <w:pStyle w:val="Heading3"/>
        <w:numPr>
          <w:ilvl w:val="0"/>
          <w:numId w:val="0"/>
        </w:numPr>
        <w:bidi w:val="0"/>
        <w:spacing w:before="140" w:after="120"/>
        <w:jc w:val="start"/>
        <w:rPr/>
      </w:pPr>
      <w:r>
        <w:rPr/>
        <w:t>Website items still requiring action</w:t>
      </w:r>
    </w:p>
    <w:p>
      <w:pPr>
        <w:pStyle w:val="BodyText"/>
        <w:numPr>
          <w:ilvl w:val="0"/>
          <w:numId w:val="3"/>
        </w:numPr>
        <w:tabs>
          <w:tab w:val="clear" w:pos="1134"/>
          <w:tab w:val="left" w:pos="709" w:leader="none"/>
        </w:tabs>
        <w:bidi w:val="0"/>
        <w:spacing w:before="0" w:after="0"/>
        <w:ind w:hanging="283" w:start="709"/>
        <w:jc w:val="start"/>
        <w:rPr/>
      </w:pPr>
      <w:r>
        <w:rPr/>
        <w:t xml:space="preserve">Replace the active Eduma 5.3.0 parent theme with an approved patched package (5.7.7+), testing on demo first. </w:t>
      </w:r>
    </w:p>
    <w:p>
      <w:pPr>
        <w:pStyle w:val="BodyText"/>
        <w:numPr>
          <w:ilvl w:val="0"/>
          <w:numId w:val="3"/>
        </w:numPr>
        <w:tabs>
          <w:tab w:val="clear" w:pos="1134"/>
          <w:tab w:val="left" w:pos="709" w:leader="none"/>
        </w:tabs>
        <w:bidi w:val="0"/>
        <w:spacing w:before="0" w:after="0"/>
        <w:ind w:hanging="283" w:start="709"/>
        <w:jc w:val="start"/>
        <w:rPr/>
      </w:pPr>
      <w:r>
        <w:rPr/>
        <w:t xml:space="preserve">Keep calling-letter email disabled until authenticated SPF-aligned SMTP or a transactional provider is configured and delivery is verified. </w:t>
      </w:r>
    </w:p>
    <w:p>
      <w:pPr>
        <w:pStyle w:val="BodyText"/>
        <w:numPr>
          <w:ilvl w:val="0"/>
          <w:numId w:val="3"/>
        </w:numPr>
        <w:tabs>
          <w:tab w:val="clear" w:pos="1134"/>
          <w:tab w:val="left" w:pos="709" w:leader="none"/>
        </w:tabs>
        <w:bidi w:val="0"/>
        <w:spacing w:before="0" w:after="0"/>
        <w:ind w:hanging="283" w:start="709"/>
        <w:jc w:val="start"/>
        <w:rPr/>
      </w:pPr>
      <w:r>
        <w:rPr/>
        <w:t xml:space="preserve">Complete authorised Site Kit/Search Console connection and retain a baseline. </w:t>
      </w:r>
    </w:p>
    <w:p>
      <w:pPr>
        <w:pStyle w:val="BodyText"/>
        <w:numPr>
          <w:ilvl w:val="0"/>
          <w:numId w:val="3"/>
        </w:numPr>
        <w:tabs>
          <w:tab w:val="clear" w:pos="1134"/>
          <w:tab w:val="left" w:pos="709" w:leader="none"/>
        </w:tabs>
        <w:bidi w:val="0"/>
        <w:spacing w:before="0" w:after="0"/>
        <w:ind w:hanging="283" w:start="709"/>
        <w:jc w:val="start"/>
        <w:rPr/>
      </w:pPr>
      <w:r>
        <w:rPr/>
        <w:t xml:space="preserve">Resolve legacy </w:t>
      </w:r>
      <w:r>
        <w:rPr>
          <w:rStyle w:val="SourceText"/>
        </w:rPr>
        <w:t>toolkitiskills.com</w:t>
      </w:r>
      <w:r>
        <w:rPr/>
        <w:t xml:space="preserve"> subpage HTTP 500 responses with access to the old host/DNS; the current cPanel account cannot fix that old document root. </w:t>
      </w:r>
    </w:p>
    <w:p>
      <w:pPr>
        <w:pStyle w:val="BodyText"/>
        <w:numPr>
          <w:ilvl w:val="0"/>
          <w:numId w:val="3"/>
        </w:numPr>
        <w:tabs>
          <w:tab w:val="clear" w:pos="1134"/>
          <w:tab w:val="left" w:pos="709" w:leader="none"/>
        </w:tabs>
        <w:bidi w:val="0"/>
        <w:spacing w:before="0" w:after="0"/>
        <w:ind w:hanging="283" w:start="709"/>
        <w:jc w:val="start"/>
        <w:rPr/>
      </w:pPr>
      <w:r>
        <w:rPr/>
        <w:t xml:space="preserve">Continue editorial review of legacy posts and consolidate only confirmed duplicates; technical SEO cleanliness is not an editorial approval. </w:t>
      </w:r>
    </w:p>
    <w:p>
      <w:pPr>
        <w:pStyle w:val="BodyText"/>
        <w:numPr>
          <w:ilvl w:val="0"/>
          <w:numId w:val="3"/>
        </w:numPr>
        <w:tabs>
          <w:tab w:val="clear" w:pos="1134"/>
          <w:tab w:val="left" w:pos="709" w:leader="none"/>
        </w:tabs>
        <w:bidi w:val="0"/>
        <w:ind w:hanging="283" w:start="709"/>
        <w:jc w:val="start"/>
        <w:rPr/>
      </w:pPr>
      <w:r>
        <w:rPr/>
        <w:t xml:space="preserve">Keep the local transfer-script changes reviewed before any Windows sync or release automation is enabled. </w:t>
      </w:r>
    </w:p>
    <w:p>
      <w:pPr>
        <w:pStyle w:val="Heading2"/>
        <w:numPr>
          <w:ilvl w:val="0"/>
          <w:numId w:val="0"/>
        </w:numPr>
        <w:bidi w:val="0"/>
        <w:spacing w:before="200" w:after="120"/>
        <w:jc w:val="start"/>
        <w:rPr/>
      </w:pPr>
      <w:r>
        <w:rPr/>
        <w:t>2. Reception system</w:t>
      </w:r>
    </w:p>
    <w:p>
      <w:pPr>
        <w:pStyle w:val="Heading3"/>
        <w:numPr>
          <w:ilvl w:val="0"/>
          <w:numId w:val="0"/>
        </w:numPr>
        <w:bidi w:val="0"/>
        <w:spacing w:before="140" w:after="120"/>
        <w:jc w:val="start"/>
        <w:rPr/>
      </w:pPr>
      <w:r>
        <w:rPr/>
        <w:t>Functionality now available</w:t>
      </w:r>
    </w:p>
    <w:p>
      <w:pPr>
        <w:pStyle w:val="BodyText"/>
        <w:numPr>
          <w:ilvl w:val="0"/>
          <w:numId w:val="4"/>
        </w:numPr>
        <w:tabs>
          <w:tab w:val="clear" w:pos="1134"/>
          <w:tab w:val="left" w:pos="709" w:leader="none"/>
        </w:tabs>
        <w:bidi w:val="0"/>
        <w:spacing w:before="0" w:after="0"/>
        <w:ind w:hanging="283" w:start="709"/>
        <w:jc w:val="start"/>
        <w:rPr/>
      </w:pPr>
      <w:r>
        <w:rPr/>
        <w:t xml:space="preserve">Visitor check-in with server-generated reference and authoritative date/time. </w:t>
      </w:r>
    </w:p>
    <w:p>
      <w:pPr>
        <w:pStyle w:val="BodyText"/>
        <w:numPr>
          <w:ilvl w:val="0"/>
          <w:numId w:val="4"/>
        </w:numPr>
        <w:tabs>
          <w:tab w:val="clear" w:pos="1134"/>
          <w:tab w:val="left" w:pos="709" w:leader="none"/>
        </w:tabs>
        <w:bidi w:val="0"/>
        <w:spacing w:before="0" w:after="0"/>
        <w:ind w:hanging="283" w:start="709"/>
        <w:jc w:val="start"/>
        <w:rPr/>
      </w:pPr>
      <w:r>
        <w:rPr/>
        <w:t xml:space="preserve">Applicant course-guidance form kept separate from the official Mzizi application. </w:t>
      </w:r>
    </w:p>
    <w:p>
      <w:pPr>
        <w:pStyle w:val="BodyText"/>
        <w:numPr>
          <w:ilvl w:val="0"/>
          <w:numId w:val="4"/>
        </w:numPr>
        <w:tabs>
          <w:tab w:val="clear" w:pos="1134"/>
          <w:tab w:val="left" w:pos="709" w:leader="none"/>
        </w:tabs>
        <w:bidi w:val="0"/>
        <w:spacing w:before="0" w:after="0"/>
        <w:ind w:hanging="283" w:start="709"/>
        <w:jc w:val="start"/>
        <w:rPr/>
      </w:pPr>
      <w:r>
        <w:rPr/>
        <w:t xml:space="preserve">On-site and external QR modes, pseudonymous scan counts and one-record completion attribution. </w:t>
      </w:r>
    </w:p>
    <w:p>
      <w:pPr>
        <w:pStyle w:val="BodyText"/>
        <w:numPr>
          <w:ilvl w:val="0"/>
          <w:numId w:val="4"/>
        </w:numPr>
        <w:tabs>
          <w:tab w:val="clear" w:pos="1134"/>
          <w:tab w:val="left" w:pos="709" w:leader="none"/>
        </w:tabs>
        <w:bidi w:val="0"/>
        <w:spacing w:before="0" w:after="0"/>
        <w:ind w:hanging="283" w:start="709"/>
        <w:jc w:val="start"/>
        <w:rPr/>
      </w:pPr>
      <w:r>
        <w:rPr/>
        <w:t xml:space="preserve">Encrypted, expiring QR drafts with autosave; drafts never count as physical attendance. </w:t>
      </w:r>
    </w:p>
    <w:p>
      <w:pPr>
        <w:pStyle w:val="BodyText"/>
        <w:numPr>
          <w:ilvl w:val="0"/>
          <w:numId w:val="4"/>
        </w:numPr>
        <w:tabs>
          <w:tab w:val="clear" w:pos="1134"/>
          <w:tab w:val="left" w:pos="709" w:leader="none"/>
        </w:tabs>
        <w:bidi w:val="0"/>
        <w:spacing w:before="0" w:after="0"/>
        <w:ind w:hanging="283" w:start="709"/>
        <w:jc w:val="start"/>
        <w:rPr/>
      </w:pPr>
      <w:r>
        <w:rPr/>
        <w:t xml:space="preserve">Required explanation when a visitor/applicant selects </w:t>
      </w:r>
      <w:r>
        <w:rPr>
          <w:rStyle w:val="SourceText"/>
        </w:rPr>
        <w:t>Other</w:t>
      </w:r>
      <w:r>
        <w:rPr/>
        <w:t xml:space="preserve">. </w:t>
      </w:r>
    </w:p>
    <w:p>
      <w:pPr>
        <w:pStyle w:val="BodyText"/>
        <w:numPr>
          <w:ilvl w:val="0"/>
          <w:numId w:val="4"/>
        </w:numPr>
        <w:tabs>
          <w:tab w:val="clear" w:pos="1134"/>
          <w:tab w:val="left" w:pos="709" w:leader="none"/>
        </w:tabs>
        <w:bidi w:val="0"/>
        <w:spacing w:before="0" w:after="0"/>
        <w:ind w:hanging="283" w:start="709"/>
        <w:jc w:val="start"/>
        <w:rPr/>
      </w:pPr>
      <w:r>
        <w:rPr/>
        <w:t xml:space="preserve">Private staff path, active-account enforcement, roles, throttling, audit logs, encrypted fields, manager exports and no-store/no-index staff responses. </w:t>
      </w:r>
    </w:p>
    <w:p>
      <w:pPr>
        <w:pStyle w:val="BodyText"/>
        <w:numPr>
          <w:ilvl w:val="0"/>
          <w:numId w:val="4"/>
        </w:numPr>
        <w:tabs>
          <w:tab w:val="clear" w:pos="1134"/>
          <w:tab w:val="left" w:pos="709" w:leader="none"/>
        </w:tabs>
        <w:bidi w:val="0"/>
        <w:ind w:hanging="283" w:start="709"/>
        <w:jc w:val="start"/>
        <w:rPr/>
      </w:pPr>
      <w:r>
        <w:rPr/>
        <w:t xml:space="preserve">Administrator-only encrypted integration settings with write-only secrets. </w:t>
      </w:r>
    </w:p>
    <w:p>
      <w:pPr>
        <w:pStyle w:val="BodyText"/>
        <w:bidi w:val="0"/>
        <w:spacing w:before="0" w:after="283"/>
        <w:jc w:val="start"/>
        <w:rPr/>
      </w:pPr>
      <w:r>
        <w:rPr/>
        <w:t xml:space="preserve">The system handbook states that release </w:t>
      </w:r>
      <w:r>
        <w:rPr>
          <w:rStyle w:val="SourceText"/>
        </w:rPr>
        <w:t>2026.08.25.1</w:t>
      </w:r>
      <w:r>
        <w:rPr/>
        <w:t xml:space="preserve"> is deployed to demo and production. The current Reception feature suite passes 28 tests and 165 assertions. The operator training handout is available as both Markdown and PDF.</w:t>
      </w:r>
    </w:p>
    <w:p>
      <w:pPr>
        <w:pStyle w:val="Heading3"/>
        <w:numPr>
          <w:ilvl w:val="0"/>
          <w:numId w:val="0"/>
        </w:numPr>
        <w:bidi w:val="0"/>
        <w:spacing w:before="140" w:after="120"/>
        <w:jc w:val="start"/>
        <w:rPr/>
      </w:pPr>
      <w:r>
        <w:rPr/>
        <w:t>Not yet operational</w:t>
      </w:r>
    </w:p>
    <w:p>
      <w:pPr>
        <w:pStyle w:val="BodyText"/>
        <w:bidi w:val="0"/>
        <w:spacing w:before="0" w:after="283"/>
        <w:jc w:val="start"/>
        <w:rPr/>
      </w:pPr>
      <w:r>
        <w:rPr/>
        <w:t>WhatsApp delivery is not enabled. Host directory, approved utility template, queued delivery records, webhook verification, retries, acknowledgement and a fallback channel still need implementation and approval. Production CIDR whitelisting needs the server-visible egress address. True offline submission needs an institution-owned kiosk decision, encrypted outbox and sync policy.</w:t>
      </w:r>
    </w:p>
    <w:p>
      <w:pPr>
        <w:pStyle w:val="BodyText"/>
        <w:bidi w:val="0"/>
        <w:spacing w:before="0" w:after="283"/>
        <w:jc w:val="start"/>
        <w:rPr/>
      </w:pPr>
      <w:r>
        <w:rPr/>
        <w:t xml:space="preserve">Direct owner inputs are recorded in </w:t>
      </w:r>
      <w:hyperlink r:id="rId2">
        <w:r>
          <w:rPr>
            <w:rStyle w:val="Hyperlink"/>
            <w:rFonts w:ascii="Liberation Mono" w:hAnsi="Liberation Mono" w:eastAsia="Noto Sans Mono CJK SC" w:cs="Liberation Mono"/>
          </w:rPr>
          <w:t>reception-system/docs/OWNER_INPUT_TRACKER.md</w:t>
        </w:r>
      </w:hyperlink>
      <w:r>
        <w:rPr/>
        <w:t>.</w:t>
      </w:r>
    </w:p>
    <w:p>
      <w:pPr>
        <w:pStyle w:val="Heading2"/>
        <w:numPr>
          <w:ilvl w:val="0"/>
          <w:numId w:val="0"/>
        </w:numPr>
        <w:bidi w:val="0"/>
        <w:spacing w:before="200" w:after="120"/>
        <w:jc w:val="start"/>
        <w:rPr/>
      </w:pPr>
      <w:r>
        <w:rPr/>
        <w:t>3. Smart Lecturer and Virtual Campus</w:t>
      </w:r>
    </w:p>
    <w:p>
      <w:pPr>
        <w:pStyle w:val="Heading3"/>
        <w:numPr>
          <w:ilvl w:val="0"/>
          <w:numId w:val="0"/>
        </w:numPr>
        <w:bidi w:val="0"/>
        <w:spacing w:before="140" w:after="120"/>
        <w:jc w:val="start"/>
        <w:rPr/>
      </w:pPr>
      <w:r>
        <w:rPr/>
        <w:t>Smart Lecturer prototype</w:t>
      </w:r>
    </w:p>
    <w:p>
      <w:pPr>
        <w:pStyle w:val="BodyText"/>
        <w:bidi w:val="0"/>
        <w:spacing w:before="0" w:after="283"/>
        <w:jc w:val="start"/>
        <w:rPr/>
      </w:pPr>
      <w:r>
        <w:rPr/>
        <w:t>The original Smart Lecturer project is a bounded presentation prototype. It demonstrates curated Toolkit question-and-answer content, visible sources, captions, bundled speech, portrait/3D presentation adapters, reduced-motion and text-only fallbacks. It is not yet a production retrieval-augmented lecturer, student-record system or autonomous academic authority.</w:t>
      </w:r>
    </w:p>
    <w:p>
      <w:pPr>
        <w:pStyle w:val="BodyText"/>
        <w:bidi w:val="0"/>
        <w:spacing w:before="0" w:after="283"/>
        <w:jc w:val="start"/>
        <w:rPr/>
      </w:pPr>
      <w:r>
        <w:rPr/>
        <w:t>Natural voice/viseme timing, a final licensed avatar/rig, provider selection and human review remain explicit prototype gates. The text, captions and sources are the authoritative output.</w:t>
      </w:r>
    </w:p>
    <w:p>
      <w:pPr>
        <w:pStyle w:val="Heading3"/>
        <w:numPr>
          <w:ilvl w:val="0"/>
          <w:numId w:val="0"/>
        </w:numPr>
        <w:bidi w:val="0"/>
        <w:spacing w:before="140" w:after="120"/>
        <w:jc w:val="start"/>
        <w:rPr/>
      </w:pPr>
      <w:r>
        <w:rPr/>
        <w:t>Virtual Campus now available locally</w:t>
      </w:r>
    </w:p>
    <w:p>
      <w:pPr>
        <w:pStyle w:val="BodyText"/>
        <w:numPr>
          <w:ilvl w:val="0"/>
          <w:numId w:val="5"/>
        </w:numPr>
        <w:tabs>
          <w:tab w:val="clear" w:pos="1134"/>
          <w:tab w:val="left" w:pos="709" w:leader="none"/>
        </w:tabs>
        <w:bidi w:val="0"/>
        <w:spacing w:before="0" w:after="0"/>
        <w:ind w:hanging="283" w:start="709"/>
        <w:jc w:val="start"/>
        <w:rPr/>
      </w:pPr>
      <w:r>
        <w:rPr/>
        <w:t xml:space="preserve">Account/session controls and role-scoped navigation. </w:t>
      </w:r>
    </w:p>
    <w:p>
      <w:pPr>
        <w:pStyle w:val="BodyText"/>
        <w:numPr>
          <w:ilvl w:val="0"/>
          <w:numId w:val="5"/>
        </w:numPr>
        <w:tabs>
          <w:tab w:val="clear" w:pos="1134"/>
          <w:tab w:val="left" w:pos="709" w:leader="none"/>
        </w:tabs>
        <w:bidi w:val="0"/>
        <w:spacing w:before="0" w:after="0"/>
        <w:ind w:hanging="283" w:start="709"/>
        <w:jc w:val="start"/>
        <w:rPr/>
      </w:pPr>
      <w:r>
        <w:rPr/>
        <w:t xml:space="preserve">Course catalogue, enrolment, finance-linked access and registrar lifecycle. </w:t>
      </w:r>
    </w:p>
    <w:p>
      <w:pPr>
        <w:pStyle w:val="BodyText"/>
        <w:numPr>
          <w:ilvl w:val="0"/>
          <w:numId w:val="5"/>
        </w:numPr>
        <w:tabs>
          <w:tab w:val="clear" w:pos="1134"/>
          <w:tab w:val="left" w:pos="709" w:leader="none"/>
        </w:tabs>
        <w:bidi w:val="0"/>
        <w:spacing w:before="0" w:after="0"/>
        <w:ind w:hanging="283" w:start="709"/>
        <w:jc w:val="start"/>
        <w:rPr/>
      </w:pPr>
      <w:r>
        <w:rPr/>
        <w:t xml:space="preserve">Modules, lessons, verified knowledge checkpoints and evidence-based progress. </w:t>
      </w:r>
    </w:p>
    <w:p>
      <w:pPr>
        <w:pStyle w:val="BodyText"/>
        <w:numPr>
          <w:ilvl w:val="0"/>
          <w:numId w:val="5"/>
        </w:numPr>
        <w:tabs>
          <w:tab w:val="clear" w:pos="1134"/>
          <w:tab w:val="left" w:pos="709" w:leader="none"/>
        </w:tabs>
        <w:bidi w:val="0"/>
        <w:spacing w:before="0" w:after="0"/>
        <w:ind w:hanging="283" w:start="709"/>
        <w:jc w:val="start"/>
        <w:rPr/>
      </w:pPr>
      <w:r>
        <w:rPr/>
        <w:t xml:space="preserve">Captioned on-demand video with resume position, watched-time evidence and a low-bandwidth fallback rendition. </w:t>
      </w:r>
    </w:p>
    <w:p>
      <w:pPr>
        <w:pStyle w:val="BodyText"/>
        <w:numPr>
          <w:ilvl w:val="0"/>
          <w:numId w:val="5"/>
        </w:numPr>
        <w:tabs>
          <w:tab w:val="clear" w:pos="1134"/>
          <w:tab w:val="left" w:pos="709" w:leader="none"/>
        </w:tabs>
        <w:bidi w:val="0"/>
        <w:spacing w:before="0" w:after="0"/>
        <w:ind w:hanging="283" w:start="709"/>
        <w:jc w:val="start"/>
        <w:rPr/>
      </w:pPr>
      <w:r>
        <w:rPr/>
        <w:t xml:space="preserve">Written assignments, lecturer marking, feedback, announcements, discussions, calendar, notifications, results, certificates and support queue. </w:t>
      </w:r>
    </w:p>
    <w:p>
      <w:pPr>
        <w:pStyle w:val="BodyText"/>
        <w:numPr>
          <w:ilvl w:val="0"/>
          <w:numId w:val="5"/>
        </w:numPr>
        <w:tabs>
          <w:tab w:val="clear" w:pos="1134"/>
          <w:tab w:val="left" w:pos="709" w:leader="none"/>
        </w:tabs>
        <w:bidi w:val="0"/>
        <w:spacing w:before="0" w:after="0"/>
        <w:ind w:hanging="283" w:start="709"/>
        <w:jc w:val="start"/>
        <w:rPr/>
      </w:pPr>
      <w:r>
        <w:rPr/>
        <w:t xml:space="preserve">LiveKit token flow, two-way video/audio, screen sharing, captions, network status, Host/Learner identification and Leave classroom controls. </w:t>
      </w:r>
    </w:p>
    <w:p>
      <w:pPr>
        <w:pStyle w:val="BodyText"/>
        <w:numPr>
          <w:ilvl w:val="0"/>
          <w:numId w:val="5"/>
        </w:numPr>
        <w:tabs>
          <w:tab w:val="clear" w:pos="1134"/>
          <w:tab w:val="left" w:pos="709" w:leader="none"/>
        </w:tabs>
        <w:bidi w:val="0"/>
        <w:ind w:hanging="283" w:start="709"/>
        <w:jc w:val="start"/>
        <w:rPr/>
      </w:pPr>
      <w:r>
        <w:rPr/>
        <w:t xml:space="preserve">Lecturer/admin assessment authoring: draft or published server-scored checks with pass mark, attempts, question options, points and explanations. </w:t>
      </w:r>
    </w:p>
    <w:p>
      <w:pPr>
        <w:pStyle w:val="BodyText"/>
        <w:bidi w:val="0"/>
        <w:spacing w:before="0" w:after="283"/>
        <w:jc w:val="start"/>
        <w:rPr/>
      </w:pPr>
      <w:r>
        <w:rPr/>
        <w:t>The disposable LiveKit browser rehearsal passed all ten checks with one lecturer and two learners, including role visibility, lecturer-only captions, camera, microphone, screen share, signed attendance join/leave events and positive attendance duration. The test now uses a temporary database and cannot wipe the normal local campus database.</w:t>
      </w:r>
    </w:p>
    <w:p>
      <w:pPr>
        <w:pStyle w:val="BodyText"/>
        <w:bidi w:val="0"/>
        <w:spacing w:before="0" w:after="283"/>
        <w:jc w:val="start"/>
        <w:rPr/>
      </w:pPr>
      <w:r>
        <w:rPr/>
        <w:t>The current Campus suite passes 57 tests and 226 assertions, and the Vite production build succeeds.</w:t>
      </w:r>
    </w:p>
    <w:p>
      <w:pPr>
        <w:pStyle w:val="Heading3"/>
        <w:numPr>
          <w:ilvl w:val="0"/>
          <w:numId w:val="0"/>
        </w:numPr>
        <w:bidi w:val="0"/>
        <w:spacing w:before="140" w:after="120"/>
        <w:jc w:val="start"/>
        <w:rPr/>
      </w:pPr>
      <w:r>
        <w:rPr/>
        <w:t>Production boundary</w:t>
      </w:r>
    </w:p>
    <w:p>
      <w:pPr>
        <w:pStyle w:val="BodyText"/>
        <w:bidi w:val="0"/>
        <w:spacing w:before="0" w:after="283"/>
        <w:jc w:val="start"/>
        <w:rPr/>
      </w:pPr>
      <w:r>
        <w:rPr>
          <w:rStyle w:val="SourceText"/>
        </w:rPr>
        <w:t>php artisan campus:readiness --json</w:t>
      </w:r>
      <w:r>
        <w:rPr/>
        <w:t xml:space="preserve"> remains </w:t>
      </w:r>
      <w:r>
        <w:rPr>
          <w:rStyle w:val="Strong"/>
        </w:rPr>
        <w:t>not ready</w:t>
      </w:r>
      <w:r>
        <w:rPr/>
        <w:t xml:space="preserve"> because live media requires production LiveKit credentials and approved live captions. No campus hostname or deployment environment is currently provisioned in the checked cPanel inventory. The Campus must stay closed to real learner intake until the owner action tracker is satisfied.</w:t>
      </w:r>
    </w:p>
    <w:p>
      <w:pPr>
        <w:pStyle w:val="BodyText"/>
        <w:bidi w:val="0"/>
        <w:spacing w:before="0" w:after="283"/>
        <w:jc w:val="start"/>
        <w:rPr/>
      </w:pPr>
      <w:r>
        <w:rPr/>
        <w:t xml:space="preserve">The direct tracker is </w:t>
      </w:r>
      <w:hyperlink r:id="rId3">
        <w:r>
          <w:rPr>
            <w:rStyle w:val="Hyperlink"/>
            <w:rFonts w:ascii="Liberation Mono" w:hAnsi="Liberation Mono" w:eastAsia="Noto Sans Mono CJK SC" w:cs="Liberation Mono"/>
          </w:rPr>
          <w:t>virtual-campus/docs/OWNER_INPUT_TRACKER.md</w:t>
        </w:r>
      </w:hyperlink>
      <w:r>
        <w:rPr/>
        <w:t xml:space="preserve">, and the module-by-module map is </w:t>
      </w:r>
      <w:hyperlink r:id="rId4">
        <w:r>
          <w:rPr>
            <w:rStyle w:val="Hyperlink"/>
            <w:rFonts w:ascii="Liberation Mono" w:hAnsi="Liberation Mono" w:eastAsia="Noto Sans Mono CJK SC" w:cs="Liberation Mono"/>
          </w:rPr>
          <w:t>virtual-campus/docs/MODULE_STATUS.md</w:t>
        </w:r>
      </w:hyperlink>
      <w:r>
        <w:rPr/>
        <w:t>.</w:t>
      </w:r>
    </w:p>
    <w:p>
      <w:pPr>
        <w:pStyle w:val="Heading2"/>
        <w:numPr>
          <w:ilvl w:val="0"/>
          <w:numId w:val="0"/>
        </w:numPr>
        <w:bidi w:val="0"/>
        <w:spacing w:before="200" w:after="120"/>
        <w:jc w:val="start"/>
        <w:rPr/>
      </w:pPr>
      <w:r>
        <w:rPr/>
        <w:t>4. Staff Report System</w:t>
      </w:r>
    </w:p>
    <w:p>
      <w:pPr>
        <w:pStyle w:val="BodyText"/>
        <w:bidi w:val="0"/>
        <w:spacing w:before="0" w:after="283"/>
        <w:jc w:val="start"/>
        <w:rPr/>
      </w:pPr>
      <w:r>
        <w:rPr/>
        <w:t>The Flask reporting platform is the institutional daily-report record. It supports employee drafts and submissions, branded PDF output, review states (Submitted → Reviewed → Approved), role-scoped dashboards, notifications, profiles, password changes, account lockout/unlock and executive visibility.</w:t>
      </w:r>
    </w:p>
    <w:p>
      <w:pPr>
        <w:pStyle w:val="BodyText"/>
        <w:bidi w:val="0"/>
        <w:spacing w:before="0" w:after="283"/>
        <w:jc w:val="start"/>
        <w:rPr/>
      </w:pPr>
      <w:r>
        <w:rPr/>
        <w:t>The existing proposal also identifies future normalized modules for admissions records/verification, monthly intake targets, incentives, meeting minutes/action items, notification rules/delivery logs, Excel export, reminders and richer department dashboards. Those are proposals/TODO items, not all current live workflows.</w:t>
      </w:r>
    </w:p>
    <w:p>
      <w:pPr>
        <w:pStyle w:val="BodyText"/>
        <w:bidi w:val="0"/>
        <w:spacing w:before="0" w:after="283"/>
        <w:jc w:val="start"/>
        <w:rPr/>
      </w:pPr>
      <w:r>
        <w:rPr/>
        <w:t>The deployment postmortem records a prior Passenger/template mismatch that took the reports and main domains offline. Future releases must deploy the application, templates and static files atomically, retain a safe error fallback and verify the cPanel WSGI/restart configuration after any Python App recreation.</w:t>
      </w:r>
    </w:p>
    <w:p>
      <w:pPr>
        <w:pStyle w:val="Heading2"/>
        <w:numPr>
          <w:ilvl w:val="0"/>
          <w:numId w:val="0"/>
        </w:numPr>
        <w:bidi w:val="0"/>
        <w:spacing w:before="200" w:after="120"/>
        <w:jc w:val="start"/>
        <w:rPr/>
      </w:pPr>
      <w:r>
        <w:rPr/>
        <w:t>5. Chatbot and assistant</w:t>
      </w:r>
    </w:p>
    <w:p>
      <w:pPr>
        <w:pStyle w:val="BodyText"/>
        <w:bidi w:val="0"/>
        <w:spacing w:before="0" w:after="283"/>
        <w:jc w:val="start"/>
        <w:rPr/>
      </w:pPr>
      <w:r>
        <w:rPr/>
        <w:t>The Chat-bot repository contains:</w:t>
      </w:r>
    </w:p>
    <w:p>
      <w:pPr>
        <w:pStyle w:val="BodyText"/>
        <w:numPr>
          <w:ilvl w:val="0"/>
          <w:numId w:val="6"/>
        </w:numPr>
        <w:tabs>
          <w:tab w:val="clear" w:pos="1134"/>
          <w:tab w:val="left" w:pos="709" w:leader="none"/>
        </w:tabs>
        <w:bidi w:val="0"/>
        <w:spacing w:before="0" w:after="0"/>
        <w:ind w:hanging="283" w:start="709"/>
        <w:jc w:val="start"/>
        <w:rPr/>
      </w:pPr>
      <w:r>
        <w:rPr/>
        <w:t xml:space="preserve">FAQ matching with aliases/fuzzy scoring for courses, fees, location, accreditation, payments, duration, requirements and intakes. </w:t>
      </w:r>
    </w:p>
    <w:p>
      <w:pPr>
        <w:pStyle w:val="BodyText"/>
        <w:numPr>
          <w:ilvl w:val="0"/>
          <w:numId w:val="6"/>
        </w:numPr>
        <w:tabs>
          <w:tab w:val="clear" w:pos="1134"/>
          <w:tab w:val="left" w:pos="709" w:leader="none"/>
        </w:tabs>
        <w:bidi w:val="0"/>
        <w:spacing w:before="0" w:after="0"/>
        <w:ind w:hanging="283" w:start="709"/>
        <w:jc w:val="start"/>
        <w:rPr/>
      </w:pPr>
      <w:r>
        <w:rPr/>
        <w:t xml:space="preserve">A controlled application-conversation state machine that captures a lead and can relay it through a signed webhook when explicitly enabled. </w:t>
      </w:r>
    </w:p>
    <w:p>
      <w:pPr>
        <w:pStyle w:val="BodyText"/>
        <w:numPr>
          <w:ilvl w:val="0"/>
          <w:numId w:val="6"/>
        </w:numPr>
        <w:tabs>
          <w:tab w:val="clear" w:pos="1134"/>
          <w:tab w:val="left" w:pos="709" w:leader="none"/>
        </w:tabs>
        <w:bidi w:val="0"/>
        <w:ind w:hanging="283" w:start="709"/>
        <w:jc w:val="start"/>
        <w:rPr/>
      </w:pPr>
      <w:r>
        <w:rPr/>
        <w:t xml:space="preserve">Session management, guarded prompts, blocked technical/unsafe requests, conversation logging, admin application listing/status changes and health/ metrics endpoints. </w:t>
      </w:r>
    </w:p>
    <w:p>
      <w:pPr>
        <w:pStyle w:val="BodyText"/>
        <w:bidi w:val="0"/>
        <w:spacing w:before="0" w:after="283"/>
        <w:jc w:val="start"/>
        <w:rPr/>
      </w:pPr>
      <w:r>
        <w:rPr/>
        <w:t>Before production use, it needs a named hosting owner, authenticated/admin-only application endpoints, restricted CORS origins, protected secrets, an approved CRM/Mzizi handoff, error monitoring without PII capture and a vendor-independent knowledge refresh process. It must never invent fees, intakes or admission decisions.</w:t>
      </w:r>
    </w:p>
    <w:p>
      <w:pPr>
        <w:pStyle w:val="Heading2"/>
        <w:numPr>
          <w:ilvl w:val="0"/>
          <w:numId w:val="0"/>
        </w:numPr>
        <w:bidi w:val="0"/>
        <w:spacing w:before="200" w:after="120"/>
        <w:jc w:val="start"/>
        <w:rPr/>
      </w:pPr>
      <w:r>
        <w:rPr/>
        <w:t>6. Brand, graphics and poster library</w:t>
      </w:r>
    </w:p>
    <w:p>
      <w:pPr>
        <w:pStyle w:val="BodyText"/>
        <w:bidi w:val="0"/>
        <w:spacing w:before="0" w:after="283"/>
        <w:jc w:val="start"/>
        <w:rPr/>
      </w:pPr>
      <w:r>
        <w:rPr/>
        <w:t xml:space="preserve">The brand registry in </w:t>
      </w:r>
      <w:r>
        <w:rPr>
          <w:rStyle w:val="SourceText"/>
        </w:rPr>
        <w:t>graphics/config/brand.json</w:t>
      </w:r>
      <w:r>
        <w:rPr/>
        <w:t xml:space="preserve"> defines:</w:t>
      </w:r>
    </w:p>
    <w:p>
      <w:pPr>
        <w:pStyle w:val="BodyText"/>
        <w:numPr>
          <w:ilvl w:val="0"/>
          <w:numId w:val="7"/>
        </w:numPr>
        <w:tabs>
          <w:tab w:val="clear" w:pos="1134"/>
          <w:tab w:val="left" w:pos="709" w:leader="none"/>
        </w:tabs>
        <w:bidi w:val="0"/>
        <w:spacing w:before="0" w:after="0"/>
        <w:ind w:hanging="283" w:start="709"/>
        <w:jc w:val="start"/>
        <w:rPr/>
      </w:pPr>
      <w:r>
        <w:rPr/>
        <w:t xml:space="preserve">Toolkit for Skills &amp; Innovation identity; </w:t>
      </w:r>
    </w:p>
    <w:p>
      <w:pPr>
        <w:pStyle w:val="BodyText"/>
        <w:numPr>
          <w:ilvl w:val="0"/>
          <w:numId w:val="7"/>
        </w:numPr>
        <w:tabs>
          <w:tab w:val="clear" w:pos="1134"/>
          <w:tab w:val="left" w:pos="709" w:leader="none"/>
        </w:tabs>
        <w:bidi w:val="0"/>
        <w:spacing w:before="0" w:after="0"/>
        <w:ind w:hanging="283" w:start="709"/>
        <w:jc w:val="start"/>
        <w:rPr/>
      </w:pPr>
      <w:r>
        <w:rPr/>
        <w:t xml:space="preserve">orange </w:t>
      </w:r>
      <w:r>
        <w:rPr>
          <w:rStyle w:val="SourceText"/>
        </w:rPr>
        <w:t>#ff4c00</w:t>
      </w:r>
      <w:r>
        <w:rPr/>
        <w:t xml:space="preserve">, olive </w:t>
      </w:r>
      <w:r>
        <w:rPr>
          <w:rStyle w:val="SourceText"/>
        </w:rPr>
        <w:t>#969e2a</w:t>
      </w:r>
      <w:r>
        <w:rPr/>
        <w:t xml:space="preserve"> and teal </w:t>
      </w:r>
      <w:r>
        <w:rPr>
          <w:rStyle w:val="SourceText"/>
        </w:rPr>
        <w:t>#006a68</w:t>
      </w:r>
      <w:r>
        <w:rPr/>
        <w:t xml:space="preserve">; </w:t>
      </w:r>
    </w:p>
    <w:p>
      <w:pPr>
        <w:pStyle w:val="BodyText"/>
        <w:numPr>
          <w:ilvl w:val="0"/>
          <w:numId w:val="7"/>
        </w:numPr>
        <w:tabs>
          <w:tab w:val="clear" w:pos="1134"/>
          <w:tab w:val="left" w:pos="709" w:leader="none"/>
        </w:tabs>
        <w:bidi w:val="0"/>
        <w:spacing w:before="0" w:after="0"/>
        <w:ind w:hanging="283" w:start="709"/>
        <w:jc w:val="start"/>
        <w:rPr/>
      </w:pPr>
      <w:r>
        <w:rPr/>
        <w:t xml:space="preserve">Tahoma heading/body typography; </w:t>
      </w:r>
    </w:p>
    <w:p>
      <w:pPr>
        <w:pStyle w:val="BodyText"/>
        <w:numPr>
          <w:ilvl w:val="0"/>
          <w:numId w:val="7"/>
        </w:numPr>
        <w:tabs>
          <w:tab w:val="clear" w:pos="1134"/>
          <w:tab w:val="left" w:pos="709" w:leader="none"/>
        </w:tabs>
        <w:bidi w:val="0"/>
        <w:ind w:hanging="283" w:start="709"/>
        <w:jc w:val="start"/>
        <w:rPr/>
      </w:pPr>
      <w:r>
        <w:rPr/>
        <w:t xml:space="preserve">approved logo and photo locations. </w:t>
      </w:r>
    </w:p>
    <w:p>
      <w:pPr>
        <w:pStyle w:val="BodyText"/>
        <w:bidi w:val="0"/>
        <w:spacing w:before="0" w:after="283"/>
        <w:jc w:val="start"/>
        <w:rPr/>
      </w:pPr>
      <w:r>
        <w:rPr/>
        <w:t xml:space="preserve">The </w:t>
      </w:r>
      <w:r>
        <w:rPr>
          <w:rStyle w:val="SourceText"/>
        </w:rPr>
        <w:t>imgs/posters/</w:t>
      </w:r>
      <w:r>
        <w:rPr/>
        <w:t xml:space="preserve"> library contains 128 files, approximately 603.3 MB:</w:t>
      </w:r>
    </w:p>
    <w:tbl>
      <w:tblPr>
        <w:tblW w:w="10205" w:type="dxa"/>
        <w:jc w:val="start"/>
        <w:tblInd w:w="0" w:type="dxa"/>
        <w:tblLayout w:type="fixed"/>
        <w:tblCellMar>
          <w:top w:w="28" w:type="dxa"/>
          <w:start w:w="28" w:type="dxa"/>
          <w:bottom w:w="28" w:type="dxa"/>
          <w:end w:w="28" w:type="dxa"/>
        </w:tblCellMar>
      </w:tblPr>
      <w:tblGrid>
        <w:gridCol w:w="1556"/>
        <w:gridCol w:w="8649"/>
      </w:tblGrid>
      <w:tr>
        <w:trPr>
          <w:tblHeader w:val="true"/>
        </w:trPr>
        <w:tc>
          <w:tcPr>
            <w:tcW w:w="1556" w:type="dxa"/>
            <w:tcBorders/>
            <w:vAlign w:val="center"/>
          </w:tcPr>
          <w:p>
            <w:pPr>
              <w:pStyle w:val="TableHeading"/>
              <w:suppressLineNumbers/>
              <w:bidi w:val="0"/>
              <w:spacing w:before="0" w:after="283"/>
              <w:jc w:val="center"/>
              <w:rPr/>
            </w:pPr>
            <w:r>
              <w:rPr/>
              <w:t>Collection</w:t>
            </w:r>
          </w:p>
        </w:tc>
        <w:tc>
          <w:tcPr>
            <w:tcW w:w="8649" w:type="dxa"/>
            <w:tcBorders/>
            <w:vAlign w:val="center"/>
          </w:tcPr>
          <w:p>
            <w:pPr>
              <w:pStyle w:val="TableHeading"/>
              <w:suppressLineNumbers/>
              <w:bidi w:val="0"/>
              <w:spacing w:before="0" w:after="283"/>
              <w:jc w:val="center"/>
              <w:rPr/>
            </w:pPr>
            <w:r>
              <w:rPr/>
              <w:t>Contents</w:t>
            </w:r>
          </w:p>
        </w:tc>
      </w:tr>
      <w:tr>
        <w:trPr/>
        <w:tc>
          <w:tcPr>
            <w:tcW w:w="1556" w:type="dxa"/>
            <w:tcBorders/>
            <w:vAlign w:val="center"/>
          </w:tcPr>
          <w:p>
            <w:pPr>
              <w:pStyle w:val="TableContents"/>
              <w:bidi w:val="0"/>
              <w:spacing w:before="0" w:after="283"/>
              <w:jc w:val="start"/>
              <w:rPr/>
            </w:pPr>
            <w:r>
              <w:rPr>
                <w:rStyle w:val="SourceText"/>
              </w:rPr>
              <w:t>prods/</w:t>
            </w:r>
          </w:p>
        </w:tc>
        <w:tc>
          <w:tcPr>
            <w:tcW w:w="8649" w:type="dxa"/>
            <w:tcBorders/>
            <w:vAlign w:val="center"/>
          </w:tcPr>
          <w:p>
            <w:pPr>
              <w:pStyle w:val="TableContents"/>
              <w:bidi w:val="0"/>
              <w:spacing w:before="0" w:after="283"/>
              <w:jc w:val="start"/>
              <w:rPr/>
            </w:pPr>
            <w:r>
              <w:rPr/>
              <w:t>19 production poster exports for welding, solar, French, HR, farming, TVET and related programmes</w:t>
            </w:r>
          </w:p>
        </w:tc>
      </w:tr>
      <w:tr>
        <w:trPr/>
        <w:tc>
          <w:tcPr>
            <w:tcW w:w="1556" w:type="dxa"/>
            <w:tcBorders/>
            <w:vAlign w:val="center"/>
          </w:tcPr>
          <w:p>
            <w:pPr>
              <w:pStyle w:val="TableContents"/>
              <w:bidi w:val="0"/>
              <w:spacing w:before="0" w:after="283"/>
              <w:jc w:val="start"/>
              <w:rPr/>
            </w:pPr>
            <w:r>
              <w:rPr>
                <w:rStyle w:val="SourceText"/>
              </w:rPr>
              <w:t>raw/</w:t>
            </w:r>
          </w:p>
        </w:tc>
        <w:tc>
          <w:tcPr>
            <w:tcW w:w="8649" w:type="dxa"/>
            <w:tcBorders/>
            <w:vAlign w:val="center"/>
          </w:tcPr>
          <w:p>
            <w:pPr>
              <w:pStyle w:val="TableContents"/>
              <w:bidi w:val="0"/>
              <w:spacing w:before="0" w:after="283"/>
              <w:jc w:val="start"/>
              <w:rPr/>
            </w:pPr>
            <w:r>
              <w:rPr/>
              <w:t>9 editable XCF/source files</w:t>
            </w:r>
          </w:p>
        </w:tc>
      </w:tr>
      <w:tr>
        <w:trPr/>
        <w:tc>
          <w:tcPr>
            <w:tcW w:w="1556" w:type="dxa"/>
            <w:tcBorders/>
            <w:vAlign w:val="center"/>
          </w:tcPr>
          <w:p>
            <w:pPr>
              <w:pStyle w:val="TableContents"/>
              <w:bidi w:val="0"/>
              <w:spacing w:before="0" w:after="283"/>
              <w:jc w:val="start"/>
              <w:rPr/>
            </w:pPr>
            <w:r>
              <w:rPr>
                <w:rStyle w:val="SourceText"/>
              </w:rPr>
              <w:t>refers/</w:t>
            </w:r>
          </w:p>
        </w:tc>
        <w:tc>
          <w:tcPr>
            <w:tcW w:w="8649" w:type="dxa"/>
            <w:tcBorders/>
            <w:vAlign w:val="center"/>
          </w:tcPr>
          <w:p>
            <w:pPr>
              <w:pStyle w:val="TableContents"/>
              <w:bidi w:val="0"/>
              <w:spacing w:before="0" w:after="283"/>
              <w:jc w:val="start"/>
              <w:rPr/>
            </w:pPr>
            <w:r>
              <w:rPr/>
              <w:t>11 referral and campaign assets, including XCF sources</w:t>
            </w:r>
          </w:p>
        </w:tc>
      </w:tr>
      <w:tr>
        <w:trPr/>
        <w:tc>
          <w:tcPr>
            <w:tcW w:w="1556" w:type="dxa"/>
            <w:tcBorders/>
            <w:vAlign w:val="center"/>
          </w:tcPr>
          <w:p>
            <w:pPr>
              <w:pStyle w:val="TableContents"/>
              <w:bidi w:val="0"/>
              <w:spacing w:before="0" w:after="283"/>
              <w:jc w:val="start"/>
              <w:rPr/>
            </w:pPr>
            <w:r>
              <w:rPr>
                <w:rStyle w:val="SourceText"/>
              </w:rPr>
              <w:t>samples/</w:t>
            </w:r>
          </w:p>
        </w:tc>
        <w:tc>
          <w:tcPr>
            <w:tcW w:w="8649" w:type="dxa"/>
            <w:tcBorders/>
            <w:vAlign w:val="center"/>
          </w:tcPr>
          <w:p>
            <w:pPr>
              <w:pStyle w:val="TableContents"/>
              <w:bidi w:val="0"/>
              <w:spacing w:before="0" w:after="283"/>
              <w:jc w:val="start"/>
              <w:rPr/>
            </w:pPr>
            <w:r>
              <w:rPr/>
              <w:t>45 design samples across courses, intakes, visitor and outreach themes</w:t>
            </w:r>
          </w:p>
        </w:tc>
      </w:tr>
      <w:tr>
        <w:trPr/>
        <w:tc>
          <w:tcPr>
            <w:tcW w:w="1556" w:type="dxa"/>
            <w:tcBorders/>
            <w:vAlign w:val="center"/>
          </w:tcPr>
          <w:p>
            <w:pPr>
              <w:pStyle w:val="TableContents"/>
              <w:bidi w:val="0"/>
              <w:spacing w:before="0" w:after="283"/>
              <w:jc w:val="start"/>
              <w:rPr/>
            </w:pPr>
            <w:r>
              <w:rPr>
                <w:rStyle w:val="SourceText"/>
              </w:rPr>
              <w:t>visitors/</w:t>
            </w:r>
          </w:p>
        </w:tc>
        <w:tc>
          <w:tcPr>
            <w:tcW w:w="8649" w:type="dxa"/>
            <w:tcBorders/>
            <w:vAlign w:val="center"/>
          </w:tcPr>
          <w:p>
            <w:pPr>
              <w:pStyle w:val="TableContents"/>
              <w:bidi w:val="0"/>
              <w:spacing w:before="0" w:after="283"/>
              <w:jc w:val="start"/>
              <w:rPr/>
            </w:pPr>
            <w:r>
              <w:rPr/>
              <w:t>visitor-pass artwork, approvals, print-ready PDFs and ZIP packages</w:t>
            </w:r>
          </w:p>
        </w:tc>
      </w:tr>
      <w:tr>
        <w:trPr/>
        <w:tc>
          <w:tcPr>
            <w:tcW w:w="1556" w:type="dxa"/>
            <w:tcBorders/>
            <w:vAlign w:val="center"/>
          </w:tcPr>
          <w:p>
            <w:pPr>
              <w:pStyle w:val="TableContents"/>
              <w:bidi w:val="0"/>
              <w:spacing w:before="0" w:after="283"/>
              <w:jc w:val="start"/>
              <w:rPr/>
            </w:pPr>
            <w:r>
              <w:rPr/>
              <w:t>root/social files</w:t>
            </w:r>
          </w:p>
        </w:tc>
        <w:tc>
          <w:tcPr>
            <w:tcW w:w="8649" w:type="dxa"/>
            <w:tcBorders/>
            <w:vAlign w:val="center"/>
          </w:tcPr>
          <w:p>
            <w:pPr>
              <w:pStyle w:val="TableContents"/>
              <w:bidi w:val="0"/>
              <w:spacing w:before="0" w:after="283"/>
              <w:jc w:val="start"/>
              <w:rPr/>
            </w:pPr>
            <w:r>
              <w:rPr/>
              <w:t>Facebook, Instagram, LinkedIn, TikTok, X/Twitter, WhatsApp and YouTube assets</w:t>
            </w:r>
          </w:p>
        </w:tc>
      </w:tr>
    </w:tbl>
    <w:p>
      <w:pPr>
        <w:pStyle w:val="BodyText"/>
        <w:bidi w:val="0"/>
        <w:spacing w:before="0" w:after="283"/>
        <w:jc w:val="start"/>
        <w:rPr/>
      </w:pPr>
      <w:r>
        <w:rPr/>
        <w:t xml:space="preserve">Across </w:t>
      </w:r>
      <w:r>
        <w:rPr>
          <w:rStyle w:val="SourceText"/>
        </w:rPr>
        <w:t>imgs/posters</w:t>
      </w:r>
      <w:r>
        <w:rPr/>
        <w:t>, the file mix is 78 PNG, 7 JPEG, 13 XCF, 27 PDF, 2 ZIP and one text manifest. Raw XCF files are the editable masters; production PNG/ JPEG/PDF files are the delivery outputs. Do not publish raw sources or visitor pass packs without the intended approval and distribution context.</w:t>
      </w:r>
    </w:p>
    <w:p>
      <w:pPr>
        <w:pStyle w:val="BodyText"/>
        <w:bidi w:val="0"/>
        <w:spacing w:before="0" w:after="283"/>
        <w:jc w:val="start"/>
        <w:rPr/>
      </w:pPr>
      <w:r>
        <w:rPr/>
        <w:t>Other image groups include four footprint references, 17 map images and 20 blog asset files. The graphics workspace contains additional approved exports, working files and brand assets; its health check should be run before design changes.</w:t>
      </w:r>
    </w:p>
    <w:p>
      <w:pPr>
        <w:pStyle w:val="Heading2"/>
        <w:numPr>
          <w:ilvl w:val="0"/>
          <w:numId w:val="0"/>
        </w:numPr>
        <w:bidi w:val="0"/>
        <w:spacing w:before="200" w:after="120"/>
        <w:jc w:val="start"/>
        <w:rPr/>
      </w:pPr>
      <w:r>
        <w:rPr/>
        <w:t>7. Prospectus, course and admissions materials</w:t>
      </w:r>
    </w:p>
    <w:p>
      <w:pPr>
        <w:pStyle w:val="BodyText"/>
        <w:bidi w:val="0"/>
        <w:spacing w:before="0" w:after="283"/>
        <w:jc w:val="start"/>
        <w:rPr/>
      </w:pPr>
      <w:r>
        <w:rPr/>
        <w:t>The workspace retains the approved 2026 course catalogue, admissions forms, admission requirements, consent material, Toolkit prospectus outputs and calling- letter templates. These are source materials for website course pages, Reception guidance, chatbot answers, Virtual Campus seed content and campaign creatives.</w:t>
      </w:r>
    </w:p>
    <w:p>
      <w:pPr>
        <w:pStyle w:val="BodyText"/>
        <w:bidi w:val="0"/>
        <w:spacing w:before="0" w:after="283"/>
        <w:jc w:val="start"/>
        <w:rPr/>
      </w:pPr>
      <w:r>
        <w:rPr/>
        <w:t>The single-source rule remains important: fee, intake, accreditation and entry- requirement claims should be confirmed against the approved catalogue/Finance or academic owner before being copied into a public page, poster, chatbot answer or course assessment.</w:t>
      </w:r>
    </w:p>
    <w:p>
      <w:pPr>
        <w:pStyle w:val="Heading2"/>
        <w:numPr>
          <w:ilvl w:val="0"/>
          <w:numId w:val="0"/>
        </w:numPr>
        <w:bidi w:val="0"/>
        <w:spacing w:before="200" w:after="120"/>
        <w:jc w:val="start"/>
        <w:rPr/>
      </w:pPr>
      <w:r>
        <w:rPr/>
        <w:t>8. Windows workspace and transfer operation</w:t>
      </w:r>
    </w:p>
    <w:p>
      <w:pPr>
        <w:pStyle w:val="BodyText"/>
        <w:bidi w:val="0"/>
        <w:spacing w:before="0" w:after="283"/>
        <w:jc w:val="start"/>
        <w:rPr/>
      </w:pPr>
      <w:r>
        <w:rPr/>
        <w:t xml:space="preserve">The previous Windows transfer work created a stable </w:t>
      </w:r>
      <w:r>
        <w:rPr>
          <w:rStyle w:val="SourceText"/>
        </w:rPr>
        <w:t>Toolkit_Workspace</w:t>
      </w:r>
      <w:r>
        <w:rPr/>
        <w:t xml:space="preserve"> layout on the Windows NVMe desktop, with project repositories, reports, briefing notes, media/design work, XCF sources and safe admissions tools separated from secrets. The recorded transfer contained 1,936 files and 457 directories, with all 27 XCF files matching byte-for-byte and prohibited secret/database/applicant-output scans passing.</w:t>
      </w:r>
    </w:p>
    <w:p>
      <w:pPr>
        <w:pStyle w:val="BodyText"/>
        <w:bidi w:val="0"/>
        <w:spacing w:before="0" w:after="283"/>
        <w:jc w:val="start"/>
        <w:rPr/>
      </w:pPr>
      <w:r>
        <w:rPr/>
        <w:t xml:space="preserve">The ongoing sync remains dependent on a reliable writable NTFS mount. Keep </w:t>
      </w:r>
      <w:r>
        <w:rPr>
          <w:rStyle w:val="SourceText"/>
        </w:rPr>
        <w:t>.env</w:t>
      </w:r>
      <w:r>
        <w:rPr/>
        <w:t>, credentials, database dumps, cookies, applicant exports and private deployment records out of the Windows mirror. The transfer scripts currently have uncommitted local edits and must be reviewed before scheduling automation.</w:t>
      </w:r>
    </w:p>
    <w:p>
      <w:pPr>
        <w:pStyle w:val="Heading2"/>
        <w:numPr>
          <w:ilvl w:val="0"/>
          <w:numId w:val="0"/>
        </w:numPr>
        <w:bidi w:val="0"/>
        <w:spacing w:before="200" w:after="120"/>
        <w:jc w:val="start"/>
        <w:rPr/>
      </w:pPr>
      <w:r>
        <w:rPr/>
        <w:t>9. Cross-toolkit security and governance priorities</w:t>
      </w:r>
    </w:p>
    <w:p>
      <w:pPr>
        <w:pStyle w:val="BodyText"/>
        <w:numPr>
          <w:ilvl w:val="0"/>
          <w:numId w:val="8"/>
        </w:numPr>
        <w:tabs>
          <w:tab w:val="clear" w:pos="1134"/>
          <w:tab w:val="left" w:pos="709" w:leader="none"/>
        </w:tabs>
        <w:bidi w:val="0"/>
        <w:spacing w:before="0" w:after="0"/>
        <w:ind w:hanging="283" w:start="709"/>
        <w:jc w:val="start"/>
        <w:rPr/>
      </w:pPr>
      <w:r>
        <w:rPr/>
        <w:t xml:space="preserve">Establish one named owner per system and one approved source for courses, fees, intakes, identities and retention. </w:t>
      </w:r>
    </w:p>
    <w:p>
      <w:pPr>
        <w:pStyle w:val="BodyText"/>
        <w:numPr>
          <w:ilvl w:val="0"/>
          <w:numId w:val="8"/>
        </w:numPr>
        <w:tabs>
          <w:tab w:val="clear" w:pos="1134"/>
          <w:tab w:val="left" w:pos="709" w:leader="none"/>
        </w:tabs>
        <w:bidi w:val="0"/>
        <w:spacing w:before="0" w:after="0"/>
        <w:ind w:hanging="283" w:start="709"/>
        <w:jc w:val="start"/>
        <w:rPr/>
      </w:pPr>
      <w:r>
        <w:rPr/>
        <w:t xml:space="preserve">Deploy MFA/step-up protection, authenticated mail/recovery and backup/restore drills before real learner or staff scale-up. </w:t>
      </w:r>
    </w:p>
    <w:p>
      <w:pPr>
        <w:pStyle w:val="BodyText"/>
        <w:numPr>
          <w:ilvl w:val="0"/>
          <w:numId w:val="8"/>
        </w:numPr>
        <w:tabs>
          <w:tab w:val="clear" w:pos="1134"/>
          <w:tab w:val="left" w:pos="709" w:leader="none"/>
        </w:tabs>
        <w:bidi w:val="0"/>
        <w:spacing w:before="0" w:after="0"/>
        <w:ind w:hanging="283" w:start="709"/>
        <w:jc w:val="start"/>
        <w:rPr/>
      </w:pPr>
      <w:r>
        <w:rPr/>
        <w:t xml:space="preserve">Keep private files outside public webroots and use separate demo/production secrets and databases. </w:t>
      </w:r>
    </w:p>
    <w:p>
      <w:pPr>
        <w:pStyle w:val="BodyText"/>
        <w:numPr>
          <w:ilvl w:val="0"/>
          <w:numId w:val="8"/>
        </w:numPr>
        <w:tabs>
          <w:tab w:val="clear" w:pos="1134"/>
          <w:tab w:val="left" w:pos="709" w:leader="none"/>
        </w:tabs>
        <w:bidi w:val="0"/>
        <w:spacing w:before="0" w:after="0"/>
        <w:ind w:hanging="283" w:start="709"/>
        <w:jc w:val="start"/>
        <w:rPr/>
      </w:pPr>
      <w:r>
        <w:rPr/>
        <w:t xml:space="preserve">Make external notifications opt-in, minimal and auditable; do not treat stored credentials as proof that WhatsApp or email delivery works. </w:t>
      </w:r>
    </w:p>
    <w:p>
      <w:pPr>
        <w:pStyle w:val="BodyText"/>
        <w:numPr>
          <w:ilvl w:val="0"/>
          <w:numId w:val="8"/>
        </w:numPr>
        <w:tabs>
          <w:tab w:val="clear" w:pos="1134"/>
          <w:tab w:val="left" w:pos="709" w:leader="none"/>
        </w:tabs>
        <w:bidi w:val="0"/>
        <w:spacing w:before="0" w:after="0"/>
        <w:ind w:hanging="283" w:start="709"/>
        <w:jc w:val="start"/>
        <w:rPr/>
      </w:pPr>
      <w:r>
        <w:rPr/>
        <w:t xml:space="preserve">Keep production deployments browser-free, demo-first, backed up and verified by actual route/asset/runtime evidence. </w:t>
      </w:r>
    </w:p>
    <w:p>
      <w:pPr>
        <w:pStyle w:val="BodyText"/>
        <w:numPr>
          <w:ilvl w:val="0"/>
          <w:numId w:val="8"/>
        </w:numPr>
        <w:tabs>
          <w:tab w:val="clear" w:pos="1134"/>
          <w:tab w:val="left" w:pos="709" w:leader="none"/>
        </w:tabs>
        <w:bidi w:val="0"/>
        <w:spacing w:before="0" w:after="0"/>
        <w:ind w:hanging="283" w:start="709"/>
        <w:jc w:val="start"/>
        <w:rPr/>
      </w:pPr>
      <w:r>
        <w:rPr/>
        <w:t xml:space="preserve">Do not use normal user deletion as a troubleshooting shortcut. Disable or remove an account only under an authorised, documented process. </w:t>
      </w:r>
    </w:p>
    <w:p>
      <w:pPr>
        <w:pStyle w:val="BodyText"/>
        <w:numPr>
          <w:ilvl w:val="0"/>
          <w:numId w:val="8"/>
        </w:numPr>
        <w:tabs>
          <w:tab w:val="clear" w:pos="1134"/>
          <w:tab w:val="left" w:pos="709" w:leader="none"/>
        </w:tabs>
        <w:bidi w:val="0"/>
        <w:ind w:hanging="283" w:start="709"/>
        <w:jc w:val="start"/>
        <w:rPr/>
      </w:pPr>
      <w:r>
        <w:rPr/>
        <w:t xml:space="preserve">Treat local/demo credentials as fixtures only; never reuse them in staging or production. </w:t>
      </w:r>
    </w:p>
    <w:p>
      <w:pPr>
        <w:pStyle w:val="Heading2"/>
        <w:numPr>
          <w:ilvl w:val="0"/>
          <w:numId w:val="0"/>
        </w:numPr>
        <w:bidi w:val="0"/>
        <w:spacing w:before="200" w:after="120"/>
        <w:jc w:val="start"/>
        <w:rPr/>
      </w:pPr>
      <w:r>
        <w:rPr/>
        <w:t>10. Decisions requested from management</w:t>
      </w:r>
    </w:p>
    <w:p>
      <w:pPr>
        <w:pStyle w:val="BodyText"/>
        <w:bidi w:val="0"/>
        <w:spacing w:before="0" w:after="283"/>
        <w:jc w:val="start"/>
        <w:rPr/>
      </w:pPr>
      <w:r>
        <w:rPr/>
        <w:t>The following decisions unblock the largest amount of work:</w:t>
      </w:r>
    </w:p>
    <w:p>
      <w:pPr>
        <w:pStyle w:val="BodyText"/>
        <w:numPr>
          <w:ilvl w:val="0"/>
          <w:numId w:val="9"/>
        </w:numPr>
        <w:tabs>
          <w:tab w:val="clear" w:pos="1134"/>
          <w:tab w:val="left" w:pos="709" w:leader="none"/>
        </w:tabs>
        <w:bidi w:val="0"/>
        <w:spacing w:before="0" w:after="0"/>
        <w:ind w:hanging="283" w:start="709"/>
        <w:jc w:val="start"/>
        <w:rPr/>
      </w:pPr>
      <w:r>
        <w:rPr/>
        <w:t xml:space="preserve">approve a Virtual Campus hostname/host and LiveKit Cloud or self-hosted capacity; </w:t>
      </w:r>
    </w:p>
    <w:p>
      <w:pPr>
        <w:pStyle w:val="BodyText"/>
        <w:numPr>
          <w:ilvl w:val="0"/>
          <w:numId w:val="9"/>
        </w:numPr>
        <w:tabs>
          <w:tab w:val="clear" w:pos="1134"/>
          <w:tab w:val="left" w:pos="709" w:leader="none"/>
        </w:tabs>
        <w:bidi w:val="0"/>
        <w:spacing w:before="0" w:after="0"/>
        <w:ind w:hanging="283" w:start="709"/>
        <w:jc w:val="start"/>
        <w:rPr/>
      </w:pPr>
      <w:r>
        <w:rPr/>
        <w:t xml:space="preserve">approve captions, recording, transcript handling and retention; </w:t>
      </w:r>
    </w:p>
    <w:p>
      <w:pPr>
        <w:pStyle w:val="BodyText"/>
        <w:numPr>
          <w:ilvl w:val="0"/>
          <w:numId w:val="9"/>
        </w:numPr>
        <w:tabs>
          <w:tab w:val="clear" w:pos="1134"/>
          <w:tab w:val="left" w:pos="709" w:leader="none"/>
        </w:tabs>
        <w:bidi w:val="0"/>
        <w:spacing w:before="0" w:after="0"/>
        <w:ind w:hanging="283" w:start="709"/>
        <w:jc w:val="start"/>
        <w:rPr/>
      </w:pPr>
      <w:r>
        <w:rPr/>
        <w:t xml:space="preserve">provide the authoritative course/fee/intake/lecturer/roster data; </w:t>
      </w:r>
    </w:p>
    <w:p>
      <w:pPr>
        <w:pStyle w:val="BodyText"/>
        <w:numPr>
          <w:ilvl w:val="0"/>
          <w:numId w:val="9"/>
        </w:numPr>
        <w:tabs>
          <w:tab w:val="clear" w:pos="1134"/>
          <w:tab w:val="left" w:pos="709" w:leader="none"/>
        </w:tabs>
        <w:bidi w:val="0"/>
        <w:spacing w:before="0" w:after="0"/>
        <w:ind w:hanging="283" w:start="709"/>
        <w:jc w:val="start"/>
        <w:rPr/>
      </w:pPr>
      <w:r>
        <w:rPr/>
        <w:t xml:space="preserve">approve mail, MFA, privacy, safeguarding and certificate policies; </w:t>
      </w:r>
    </w:p>
    <w:p>
      <w:pPr>
        <w:pStyle w:val="BodyText"/>
        <w:numPr>
          <w:ilvl w:val="0"/>
          <w:numId w:val="9"/>
        </w:numPr>
        <w:tabs>
          <w:tab w:val="clear" w:pos="1134"/>
          <w:tab w:val="left" w:pos="709" w:leader="none"/>
        </w:tabs>
        <w:bidi w:val="0"/>
        <w:spacing w:before="0" w:after="0"/>
        <w:ind w:hanging="283" w:start="709"/>
        <w:jc w:val="start"/>
        <w:rPr/>
      </w:pPr>
      <w:r>
        <w:rPr/>
        <w:t xml:space="preserve">approve Reception host directory, WhatsApp template and notification fallback; </w:t>
      </w:r>
    </w:p>
    <w:p>
      <w:pPr>
        <w:pStyle w:val="BodyText"/>
        <w:numPr>
          <w:ilvl w:val="0"/>
          <w:numId w:val="9"/>
        </w:numPr>
        <w:tabs>
          <w:tab w:val="clear" w:pos="1134"/>
          <w:tab w:val="left" w:pos="709" w:leader="none"/>
        </w:tabs>
        <w:bidi w:val="0"/>
        <w:spacing w:before="0" w:after="0"/>
        <w:ind w:hanging="283" w:start="709"/>
        <w:jc w:val="start"/>
        <w:rPr/>
      </w:pPr>
      <w:r>
        <w:rPr/>
        <w:t xml:space="preserve">provide production backup/restore ownership and acceptance windows; </w:t>
      </w:r>
    </w:p>
    <w:p>
      <w:pPr>
        <w:pStyle w:val="BodyText"/>
        <w:numPr>
          <w:ilvl w:val="0"/>
          <w:numId w:val="9"/>
        </w:numPr>
        <w:tabs>
          <w:tab w:val="clear" w:pos="1134"/>
          <w:tab w:val="left" w:pos="709" w:leader="none"/>
        </w:tabs>
        <w:bidi w:val="0"/>
        <w:spacing w:before="0" w:after="0"/>
        <w:ind w:hanging="283" w:start="709"/>
        <w:jc w:val="start"/>
        <w:rPr/>
      </w:pPr>
      <w:r>
        <w:rPr/>
        <w:t xml:space="preserve">approve the patched Eduma parent package and website migration schedule; </w:t>
      </w:r>
    </w:p>
    <w:p>
      <w:pPr>
        <w:pStyle w:val="BodyText"/>
        <w:numPr>
          <w:ilvl w:val="0"/>
          <w:numId w:val="9"/>
        </w:numPr>
        <w:tabs>
          <w:tab w:val="clear" w:pos="1134"/>
          <w:tab w:val="left" w:pos="709" w:leader="none"/>
        </w:tabs>
        <w:bidi w:val="0"/>
        <w:spacing w:before="0" w:after="0"/>
        <w:ind w:hanging="283" w:start="709"/>
        <w:jc w:val="start"/>
        <w:rPr/>
      </w:pPr>
      <w:r>
        <w:rPr/>
        <w:t xml:space="preserve">decide whether the Report System's proposed admissions/intake/minutes/incentive expansion is funded and owned; </w:t>
      </w:r>
    </w:p>
    <w:p>
      <w:pPr>
        <w:pStyle w:val="BodyText"/>
        <w:numPr>
          <w:ilvl w:val="0"/>
          <w:numId w:val="9"/>
        </w:numPr>
        <w:tabs>
          <w:tab w:val="clear" w:pos="1134"/>
          <w:tab w:val="left" w:pos="709" w:leader="none"/>
        </w:tabs>
        <w:bidi w:val="0"/>
        <w:ind w:hanging="283" w:start="709"/>
        <w:jc w:val="start"/>
        <w:rPr/>
      </w:pPr>
      <w:r>
        <w:rPr/>
        <w:t xml:space="preserve">approve a governed chatbot CRM/Mzizi handoff and production hosting boundary. </w:t>
      </w:r>
    </w:p>
    <w:p>
      <w:pPr>
        <w:pStyle w:val="Heading2"/>
        <w:numPr>
          <w:ilvl w:val="0"/>
          <w:numId w:val="0"/>
        </w:numPr>
        <w:bidi w:val="0"/>
        <w:spacing w:before="200" w:after="120"/>
        <w:jc w:val="start"/>
        <w:rPr/>
      </w:pPr>
      <w:r>
        <w:rPr/>
        <w:t>Briefing conclusion</w:t>
      </w:r>
    </w:p>
    <w:p>
      <w:pPr>
        <w:pStyle w:val="BodyText"/>
        <w:bidi w:val="0"/>
        <w:spacing w:before="0" w:after="283"/>
        <w:jc w:val="start"/>
        <w:rPr/>
      </w:pPr>
      <w:r>
        <w:rPr/>
        <w:t>The Toolkit directory contains a substantial, documented foundation rather than one single application. Website and Reception operations are the current live anchors. Smart Lecturer and the Virtual Campus now provide a credible local teaching pilot, including tested multi-user video, but production activation is correctly held behind explicit owner, infrastructure and policy gates. The next step is to answer the trackers, complete the controlled gates, and promote only the evidence-backed builds.</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FreeSans"/>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tmp/reception-system/docs/OWNER_INPUT_TRACKER.md" TargetMode="External"/><Relationship Id="rId3" Type="http://schemas.openxmlformats.org/officeDocument/2006/relationships/hyperlink" Target="../../../../../../../tmp/SmartLecturer_VirtualCampus/virtual-campus/docs/OWNER_INPUT_TRACKER.md" TargetMode="External"/><Relationship Id="rId4" Type="http://schemas.openxmlformats.org/officeDocument/2006/relationships/hyperlink" Target="../../../../../../../tmp/SmartLecturer_VirtualCampus/virtual-campus/docs/MODULE_STATUS.md"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Pages>
  <Words>2107</Words>
  <Characters>14161</Characters>
  <CharactersWithSpaces>16115</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