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987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Reception Integration and Deployment Readiness</w:t>
      </w:r>
    </w:p>
    <w:p>
      <w:pPr>
        <w:jc w:val="center"/>
      </w:pPr>
      <w:r>
        <w:rPr>
          <w:b/>
          <w:color w:val="FF6600"/>
        </w:rPr>
        <w:t>WMR-13  |  REPORTING PERIOD: 27-31 JULY 2026</w:t>
      </w:r>
    </w:p>
    <w:p>
      <w:pPr>
        <w:jc w:val="center"/>
      </w:pPr>
      <w:r>
        <w:rPr>
          <w:b/>
        </w:rPr>
        <w:t>STATUS AT OPENING: LOCAL IMPLEMENTATION COMPLETE; REMOTE RELEASE GATED</w:t>
      </w:r>
    </w:p>
    <w:p>
      <w:pPr>
        <w:pStyle w:val="Heading1"/>
      </w:pPr>
      <w:r>
        <w:t>Executive milestone</w:t>
      </w:r>
    </w:p>
    <w:p>
      <w:r>
        <w:t>Establish a secure public reception-request journey that feeds Toolkit Africa's existing Reception Control system without duplicating visitor data in WordPress, while preserving the distinction between advance follow-up and physical attendance. The milestone closes when the workflow is accepted on demo and is either safely promoted to production or formally held with every unmet gate recorded.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006A6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t>Report</w:t>
            </w:r>
          </w:p>
        </w:tc>
        <w:tc>
          <w:tcPr>
            <w:tcW w:type="dxa" w:w="5112"/>
            <w:vAlign w:val="top"/>
          </w:tcPr>
          <w:p>
            <w:r>
              <w:t>Toolkit Weekly Milestone Report 13</w:t>
            </w:r>
          </w:p>
        </w:tc>
      </w:tr>
      <w:tr>
        <w:tc>
          <w:tcPr>
            <w:tcW w:type="dxa" w:w="5112"/>
            <w:vAlign w:val="top"/>
          </w:tcPr>
          <w:p>
            <w:r>
              <w:t>Reporting period</w:t>
            </w:r>
          </w:p>
        </w:tc>
        <w:tc>
          <w:tcPr>
            <w:tcW w:type="dxa" w:w="5112"/>
            <w:vAlign w:val="top"/>
          </w:tcPr>
          <w:p>
            <w:r>
              <w:t>27-31 July 2026</w:t>
            </w:r>
          </w:p>
        </w:tc>
      </w:tr>
      <w:tr>
        <w:tc>
          <w:tcPr>
            <w:tcW w:type="dxa" w:w="5112"/>
            <w:vAlign w:val="top"/>
          </w:tcPr>
          <w:p>
            <w:r>
              <w:t>Prepared</w:t>
            </w:r>
          </w:p>
        </w:tc>
        <w:tc>
          <w:tcPr>
            <w:tcW w:type="dxa" w:w="5112"/>
            <w:vAlign w:val="top"/>
          </w:tcPr>
          <w:p>
            <w:r>
              <w:t>27 July 2026</w:t>
            </w:r>
          </w:p>
        </w:tc>
      </w:tr>
      <w:tr>
        <w:tc>
          <w:tcPr>
            <w:tcW w:type="dxa" w:w="5112"/>
            <w:vAlign w:val="top"/>
          </w:tcPr>
          <w:p>
            <w:r>
              <w:t>Workstream</w:t>
            </w:r>
          </w:p>
        </w:tc>
        <w:tc>
          <w:tcPr>
            <w:tcW w:type="dxa" w:w="5112"/>
            <w:vAlign w:val="top"/>
          </w:tcPr>
          <w:p>
            <w:r>
              <w:t>Reception system and public website integration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Systems</w:t>
            </w:r>
          </w:p>
        </w:tc>
        <w:tc>
          <w:tcPr>
            <w:tcW w:type="dxa" w:w="5112"/>
            <w:vAlign w:val="top"/>
          </w:tcPr>
          <w:p>
            <w:r>
              <w:t>WordPress Eduma child theme and Laravel Reception Control</w:t>
            </w:r>
          </w:p>
        </w:tc>
      </w:tr>
      <w:tr>
        <w:tc>
          <w:tcPr>
            <w:tcW w:type="dxa" w:w="5112"/>
            <w:vAlign w:val="top"/>
          </w:tcPr>
          <w:p>
            <w:r>
              <w:t>Data classification</w:t>
            </w:r>
          </w:p>
        </w:tc>
        <w:tc>
          <w:tcPr>
            <w:tcW w:type="dxa" w:w="5112"/>
            <w:vAlign w:val="top"/>
          </w:tcPr>
          <w:p>
            <w:r>
              <w:t>Internal report; contains no visitor PII or deployment secrets</w:t>
            </w:r>
          </w:p>
        </w:tc>
      </w:tr>
    </w:tbl>
    <w:p>
      <w:pPr>
        <w:pStyle w:val="Heading1"/>
      </w:pPr>
      <w:r>
        <w:t>Milestone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969E2A"/>
            <w:vAlign w:val="center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3408"/>
            <w:shd w:fill="969E2A"/>
            <w:vAlign w:val="center"/>
          </w:tcPr>
          <w:p>
            <w:r>
              <w:rPr>
                <w:b/>
                <w:color w:val="FFFFFF"/>
              </w:rPr>
              <w:t>Opening status</w:t>
            </w:r>
          </w:p>
        </w:tc>
        <w:tc>
          <w:tcPr>
            <w:tcW w:type="dxa" w:w="3408"/>
            <w:shd w:fill="969E2A"/>
            <w:vAlign w:val="center"/>
          </w:tcPr>
          <w:p>
            <w:r>
              <w:rPr>
                <w:b/>
                <w:color w:val="FFFFFF"/>
              </w:rPr>
              <w:t>Week-close evidence</w:t>
            </w:r>
          </w:p>
        </w:tc>
      </w:tr>
      <w:tr>
        <w:tc>
          <w:tcPr>
            <w:tcW w:type="dxa" w:w="3408"/>
            <w:vAlign w:val="top"/>
          </w:tcPr>
          <w:p>
            <w:r>
              <w:t>Website reception experience</w:t>
            </w:r>
          </w:p>
        </w:tc>
        <w:tc>
          <w:tcPr>
            <w:tcW w:type="dxa" w:w="3408"/>
            <w:vAlign w:val="top"/>
          </w:tcPr>
          <w:p>
            <w:r>
              <w:t>Implemented locally</w:t>
            </w:r>
          </w:p>
        </w:tc>
        <w:tc>
          <w:tcPr>
            <w:tcW w:type="dxa" w:w="3408"/>
            <w:vAlign w:val="top"/>
          </w:tcPr>
          <w:p>
            <w:r>
              <w:t>Responsive /reception/ page, accessibility review and accepted visitor guidance.</w:t>
            </w:r>
          </w:p>
        </w:tc>
      </w:tr>
      <w:tr>
        <w:tc>
          <w:tcPr>
            <w:tcW w:type="dxa" w:w="3408"/>
            <w:vAlign w:val="top"/>
          </w:tcPr>
          <w:p>
            <w:r>
              <w:t>Secure server relay</w:t>
            </w:r>
          </w:p>
        </w:tc>
        <w:tc>
          <w:tcPr>
            <w:tcW w:type="dxa" w:w="3408"/>
            <w:vAlign w:val="top"/>
          </w:tcPr>
          <w:p>
            <w:r>
              <w:t>Implemented and locally verified</w:t>
            </w:r>
          </w:p>
        </w:tc>
        <w:tc>
          <w:tcPr>
            <w:tcW w:type="dxa" w:w="3408"/>
            <w:vAlign w:val="top"/>
          </w:tcPr>
          <w:p>
            <w:r>
              <w:t>Signed demo request, replay rejection, rate-limit and failure-path results.</w:t>
            </w:r>
          </w:p>
        </w:tc>
      </w:tr>
      <w:tr>
        <w:tc>
          <w:tcPr>
            <w:tcW w:type="dxa" w:w="3408"/>
            <w:vAlign w:val="top"/>
          </w:tcPr>
          <w:p>
            <w:r>
              <w:t>Reception data model</w:t>
            </w:r>
          </w:p>
        </w:tc>
        <w:tc>
          <w:tcPr>
            <w:tcW w:type="dxa" w:w="3408"/>
            <w:vAlign w:val="top"/>
          </w:tcPr>
          <w:p>
            <w:r>
              <w:t>Migration implemented locally</w:t>
            </w:r>
          </w:p>
        </w:tc>
        <w:tc>
          <w:tcPr>
            <w:tcW w:type="dxa" w:w="3408"/>
            <w:vAlign w:val="top"/>
          </w:tcPr>
          <w:p>
            <w:r>
              <w:t>Backed-up demo migration and verified source/status/timestamp behavior.</w:t>
            </w:r>
          </w:p>
        </w:tc>
      </w:tr>
      <w:tr>
        <w:tc>
          <w:tcPr>
            <w:tcW w:type="dxa" w:w="3408"/>
            <w:vAlign w:val="top"/>
          </w:tcPr>
          <w:p>
            <w:r>
              <w:t>Staff operations</w:t>
            </w:r>
          </w:p>
        </w:tc>
        <w:tc>
          <w:tcPr>
            <w:tcW w:type="dxa" w:w="3408"/>
            <w:vAlign w:val="top"/>
          </w:tcPr>
          <w:p>
            <w:r>
              <w:t>Views and metrics updated locally</w:t>
            </w:r>
          </w:p>
        </w:tc>
        <w:tc>
          <w:tcPr>
            <w:tcW w:type="dxa" w:w="3408"/>
            <w:vAlign w:val="top"/>
          </w:tcPr>
          <w:p>
            <w:r>
              <w:t>Authorized staff can review/update requests without attendance distortion.</w:t>
            </w:r>
          </w:p>
        </w:tc>
      </w:tr>
      <w:tr>
        <w:tc>
          <w:tcPr>
            <w:tcW w:type="dxa" w:w="3408"/>
            <w:vAlign w:val="top"/>
          </w:tcPr>
          <w:p>
            <w:r>
              <w:t>Demo release</w:t>
            </w:r>
          </w:p>
        </w:tc>
        <w:tc>
          <w:tcPr>
            <w:tcW w:type="dxa" w:w="3408"/>
            <w:vAlign w:val="top"/>
          </w:tcPr>
          <w:p>
            <w:r>
              <w:t>Pending hosting topology</w:t>
            </w:r>
          </w:p>
        </w:tc>
        <w:tc>
          <w:tcPr>
            <w:tcW w:type="dxa" w:w="3408"/>
            <w:vAlign w:val="top"/>
          </w:tcPr>
          <w:p>
            <w:r>
              <w:t>Backend and WordPress release manifests, smoke tests, test-record cleanup and sign-off.</w:t>
            </w:r>
          </w:p>
        </w:tc>
      </w:tr>
      <w:tr>
        <w:tc>
          <w:tcPr>
            <w:tcW w:type="dxa" w:w="3408"/>
            <w:vAlign w:val="top"/>
          </w:tcPr>
          <w:p>
            <w:r>
              <w:t>Production release</w:t>
            </w:r>
          </w:p>
        </w:tc>
        <w:tc>
          <w:tcPr>
            <w:tcW w:type="dxa" w:w="3408"/>
            <w:vAlign w:val="top"/>
          </w:tcPr>
          <w:p>
            <w:r>
              <w:t>Not started; demo-gated</w:t>
            </w:r>
          </w:p>
        </w:tc>
        <w:tc>
          <w:tcPr>
            <w:tcW w:type="dxa" w:w="3408"/>
            <w:vAlign w:val="top"/>
          </w:tcPr>
          <w:p>
            <w:r>
              <w:t>Go/no-go decision, approvals, backups, smoke tests, monitoring and rollback evidence.</w:t>
            </w:r>
          </w:p>
        </w:tc>
      </w:tr>
      <w:tr>
        <w:tc>
          <w:tcPr>
            <w:tcW w:type="dxa" w:w="3408"/>
            <w:vAlign w:val="top"/>
          </w:tcPr>
          <w:p>
            <w:r>
              <w:t>Operational handover</w:t>
            </w:r>
          </w:p>
        </w:tc>
        <w:tc>
          <w:tcPr>
            <w:tcW w:type="dxa" w:w="3408"/>
            <w:vAlign w:val="top"/>
          </w:tcPr>
          <w:p>
            <w:r>
              <w:t>Drafted</w:t>
            </w:r>
          </w:p>
        </w:tc>
        <w:tc>
          <w:tcPr>
            <w:tcW w:type="dxa" w:w="3408"/>
            <w:vAlign w:val="top"/>
          </w:tcPr>
          <w:p>
            <w:r>
              <w:t>Configuration, deployment, monitoring, retention and rollback instructions accepted.</w:t>
            </w:r>
          </w:p>
        </w:tc>
      </w:tr>
    </w:tbl>
    <w:p>
      <w:pPr>
        <w:pStyle w:val="Heading1"/>
      </w:pPr>
      <w:r>
        <w:t>Completed foundation at milestone opening</w:t>
      </w:r>
    </w:p>
    <w:p>
      <w:pPr>
        <w:pStyle w:val="ListBullet"/>
      </w:pPr>
      <w:r>
        <w:t>Added a signed Laravel endpoint for website-originated reception requests.</w:t>
      </w:r>
    </w:p>
    <w:p>
      <w:pPr>
        <w:pStyle w:val="ListBullet"/>
      </w:pPr>
      <w:r>
        <w:t>Added timestamp tolerance, nonce replay protection and HMAC verification over the exact raw JSON body.</w:t>
      </w:r>
    </w:p>
    <w:p>
      <w:pPr>
        <w:pStyle w:val="ListBullet"/>
      </w:pPr>
      <w:r>
        <w:t>Added nullable check-in and website submission fields through a reversible database migration.</w:t>
      </w:r>
    </w:p>
    <w:p>
      <w:pPr>
        <w:pStyle w:val="ListBullet"/>
      </w:pPr>
      <w:r>
        <w:t>Added the WordPress same-origin form relay with nonce checking, honeypot protection and per-IP throttling.</w:t>
      </w:r>
    </w:p>
    <w:p>
      <w:pPr>
        <w:pStyle w:val="ListBullet"/>
      </w:pPr>
      <w:r>
        <w:t>Added a branded public reception form using the reception system's defined visitor fields.</w:t>
      </w:r>
    </w:p>
    <w:p>
      <w:pPr>
        <w:pStyle w:val="ListBullet"/>
      </w:pPr>
      <w:r>
        <w:t>Updated Reception Control lists, details, dashboard totals, exports and retention handling.</w:t>
      </w:r>
    </w:p>
    <w:p>
      <w:pPr>
        <w:pStyle w:val="ListBullet"/>
      </w:pPr>
      <w:r>
        <w:t>Verified a complete local submission and removed the labelled test record afterward.</w:t>
      </w:r>
    </w:p>
    <w:p>
      <w:pPr>
        <w:pStyle w:val="ListBullet"/>
      </w:pPr>
      <w:r>
        <w:t>Recorded configuration, deployment, acceptance and rollback instructions without secrets.</w:t>
      </w:r>
    </w:p>
    <w:p>
      <w:pPr>
        <w:pStyle w:val="Heading1"/>
      </w:pPr>
      <w:r>
        <w:t>Validation baseline</w:t>
      </w:r>
    </w:p>
    <w:p>
      <w:pPr>
        <w:pStyle w:val="ListBullet"/>
      </w:pPr>
      <w:r>
        <w:t>Laravel: 18 tests passed with 92 assertions.</w:t>
      </w:r>
    </w:p>
    <w:p>
      <w:pPr>
        <w:pStyle w:val="ListBullet"/>
      </w:pPr>
      <w:r>
        <w:t>Laravel Pint: passed.</w:t>
      </w:r>
    </w:p>
    <w:p>
      <w:pPr>
        <w:pStyle w:val="ListBullet"/>
      </w:pPr>
      <w:r>
        <w:t>PHP syntax: reception integration, theme functions and reception template passed.</w:t>
      </w:r>
    </w:p>
    <w:p>
      <w:pPr>
        <w:pStyle w:val="ListBullet"/>
      </w:pPr>
      <w:r>
        <w:t>JavaScript syntax: reception form controller passed.</w:t>
      </w:r>
    </w:p>
    <w:p>
      <w:pPr>
        <w:pStyle w:val="ListBullet"/>
      </w:pPr>
      <w:r>
        <w:t>Automated local WordPress pretty-permalink check returned HTTP 200; no persistent local review environment was provided.</w:t>
      </w:r>
    </w:p>
    <w:p>
      <w:pPr>
        <w:pStyle w:val="ListBullet"/>
      </w:pPr>
      <w:r>
        <w:t>Automated local WordPress REST relay returned HTTP 200 with a generated WEB reference.</w:t>
      </w:r>
    </w:p>
    <w:p>
      <w:pPr>
        <w:pStyle w:val="ListBullet"/>
      </w:pPr>
      <w:r>
        <w:t>Stored record: source website, status follow_up, submitted timestamp present and checked-in timestamp absent.</w:t>
      </w:r>
    </w:p>
    <w:p>
      <w:pPr>
        <w:pStyle w:val="ListBullet"/>
      </w:pPr>
      <w:r>
        <w:t>Labelled integration records: deleted after verification.</w:t>
      </w:r>
    </w:p>
    <w:p>
      <w:pPr>
        <w:pStyle w:val="Heading1"/>
      </w:pPr>
      <w:r>
        <w:t>Risks and controls for the reporting 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  <w:vAlign w:val="center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408"/>
            <w:shd w:fill="006A68"/>
            <w:vAlign w:val="center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408"/>
            <w:shd w:fill="006A68"/>
            <w:vAlign w:val="center"/>
          </w:tcPr>
          <w:p>
            <w:r>
              <w:rPr>
                <w:b/>
                <w:color w:val="FFFFFF"/>
              </w:rPr>
              <w:t>Control / decision</w:t>
            </w:r>
          </w:p>
        </w:tc>
      </w:tr>
      <w:tr>
        <w:tc>
          <w:tcPr>
            <w:tcW w:type="dxa" w:w="3408"/>
            <w:vAlign w:val="top"/>
          </w:tcPr>
          <w:p>
            <w:r>
              <w:t>Laravel deployed beneath a public WordPress root</w:t>
            </w:r>
          </w:p>
        </w:tc>
        <w:tc>
          <w:tcPr>
            <w:tcW w:type="dxa" w:w="3408"/>
            <w:vAlign w:val="top"/>
          </w:tcPr>
          <w:p>
            <w:r>
              <w:t>Sensitive configuration or application files could be exposed.</w:t>
            </w:r>
          </w:p>
        </w:tc>
        <w:tc>
          <w:tcPr>
            <w:tcW w:type="dxa" w:w="3408"/>
            <w:vAlign w:val="top"/>
          </w:tcPr>
          <w:p>
            <w:r>
              <w:t>Require a private app path and a document root mapped exactly to public/.</w:t>
            </w:r>
          </w:p>
        </w:tc>
      </w:tr>
      <w:tr>
        <w:tc>
          <w:tcPr>
            <w:tcW w:type="dxa" w:w="3408"/>
            <w:vAlign w:val="top"/>
          </w:tcPr>
          <w:p>
            <w:r>
              <w:t>Shared secret exposed or reused</w:t>
            </w:r>
          </w:p>
        </w:tc>
        <w:tc>
          <w:tcPr>
            <w:tcW w:type="dxa" w:w="3408"/>
            <w:vAlign w:val="top"/>
          </w:tcPr>
          <w:p>
            <w:r>
              <w:t>Unauthorized request creation across environments.</w:t>
            </w:r>
          </w:p>
        </w:tc>
        <w:tc>
          <w:tcPr>
            <w:tcW w:type="dxa" w:w="3408"/>
            <w:vAlign w:val="top"/>
          </w:tcPr>
          <w:p>
            <w:r>
              <w:t>Use independent random secrets, store server-side only, rotate on suspicion.</w:t>
            </w:r>
          </w:p>
        </w:tc>
      </w:tr>
      <w:tr>
        <w:tc>
          <w:tcPr>
            <w:tcW w:type="dxa" w:w="3408"/>
            <w:vAlign w:val="top"/>
          </w:tcPr>
          <w:p>
            <w:r>
              <w:t>Website leads counted as attendance</w:t>
            </w:r>
          </w:p>
        </w:tc>
        <w:tc>
          <w:tcPr>
            <w:tcW w:type="dxa" w:w="3408"/>
            <w:vAlign w:val="top"/>
          </w:tcPr>
          <w:p>
            <w:r>
              <w:t>Incorrect operational reporting.</w:t>
            </w:r>
          </w:p>
        </w:tc>
        <w:tc>
          <w:tcPr>
            <w:tcW w:type="dxa" w:w="3408"/>
            <w:vAlign w:val="top"/>
          </w:tcPr>
          <w:p>
            <w:r>
              <w:t>Keep checked_in_at null until staff records physical arrival; exclude website source from attendance metrics.</w:t>
            </w:r>
          </w:p>
        </w:tc>
      </w:tr>
      <w:tr>
        <w:tc>
          <w:tcPr>
            <w:tcW w:type="dxa" w:w="3408"/>
            <w:vAlign w:val="top"/>
          </w:tcPr>
          <w:p>
            <w:r>
              <w:t>Duplicate PII storage</w:t>
            </w:r>
          </w:p>
        </w:tc>
        <w:tc>
          <w:tcPr>
            <w:tcW w:type="dxa" w:w="3408"/>
            <w:vAlign w:val="top"/>
          </w:tcPr>
          <w:p>
            <w:r>
              <w:t>Expanded privacy and breach surface.</w:t>
            </w:r>
          </w:p>
        </w:tc>
        <w:tc>
          <w:tcPr>
            <w:tcW w:type="dxa" w:w="3408"/>
            <w:vAlign w:val="top"/>
          </w:tcPr>
          <w:p>
            <w:r>
              <w:t>Reception remains authoritative; WordPress performs no fallback persistence.</w:t>
            </w:r>
          </w:p>
        </w:tc>
      </w:tr>
      <w:tr>
        <w:tc>
          <w:tcPr>
            <w:tcW w:type="dxa" w:w="3408"/>
            <w:vAlign w:val="top"/>
          </w:tcPr>
          <w:p>
            <w:r>
              <w:t>Partial deployment</w:t>
            </w:r>
          </w:p>
        </w:tc>
        <w:tc>
          <w:tcPr>
            <w:tcW w:type="dxa" w:w="3408"/>
            <w:vAlign w:val="top"/>
          </w:tcPr>
          <w:p>
            <w:r>
              <w:t>Public form fails or loses submissions.</w:t>
            </w:r>
          </w:p>
        </w:tc>
        <w:tc>
          <w:tcPr>
            <w:tcW w:type="dxa" w:w="3408"/>
            <w:vAlign w:val="top"/>
          </w:tcPr>
          <w:p>
            <w:r>
              <w:t>Deploy backend first, test health, enable WordPress form last, fail closed to phone.</w:t>
            </w:r>
          </w:p>
        </w:tc>
      </w:tr>
      <w:tr>
        <w:tc>
          <w:tcPr>
            <w:tcW w:type="dxa" w:w="3408"/>
            <w:vAlign w:val="top"/>
          </w:tcPr>
          <w:p>
            <w:r>
              <w:t>Unrecoverable migration</w:t>
            </w:r>
          </w:p>
        </w:tc>
        <w:tc>
          <w:tcPr>
            <w:tcW w:type="dxa" w:w="3408"/>
            <w:vAlign w:val="top"/>
          </w:tcPr>
          <w:p>
            <w:r>
              <w:t>Service interruption or data loss.</w:t>
            </w:r>
          </w:p>
        </w:tc>
        <w:tc>
          <w:tcPr>
            <w:tcW w:type="dxa" w:w="3408"/>
            <w:vAlign w:val="top"/>
          </w:tcPr>
          <w:p>
            <w:r>
              <w:t>Same-day database backup, migration evidence and tested rollback procedure.</w:t>
            </w:r>
          </w:p>
        </w:tc>
      </w:tr>
    </w:tbl>
    <w:p>
      <w:pPr>
        <w:pStyle w:val="Heading1"/>
      </w:pPr>
      <w:r>
        <w:t>Current deployment checkpoint</w:t>
      </w:r>
    </w:p>
    <w:p>
      <w:pPr>
        <w:pStyle w:val="ListBullet"/>
      </w:pPr>
      <w:r>
        <w:t>Independent cPanel application/public directories were created for demo and production outside WordPress.</w:t>
      </w:r>
    </w:p>
    <w:p>
      <w:pPr>
        <w:pStyle w:val="ListBullet"/>
      </w:pPr>
      <w:r>
        <w:t>reception-demo.toolkitafrica.ac.ke was created and mapped to the independent demo public directory.</w:t>
      </w:r>
    </w:p>
    <w:p>
      <w:pPr>
        <w:pStyle w:val="ListBullet"/>
      </w:pPr>
      <w:r>
        <w:t>Laravel commit e8bf6cc was uploaded and extracted; temporary installers, archives and cron entries were removed.</w:t>
      </w:r>
    </w:p>
    <w:p>
      <w:pPr>
        <w:pStyle w:val="ListBullet"/>
      </w:pPr>
      <w:r>
        <w:t>The demo now returns HTTP 200 and is ready for acceptance after private environment, database, migrations, seed, runtime and cache completion.</w:t>
      </w:r>
    </w:p>
    <w:p>
      <w:pPr>
        <w:pStyle w:val="ListBullet"/>
      </w:pPr>
      <w:r>
        <w:t>The reception form and redesigned image/video gallery templates are deployed and visually verified on demo.</w:t>
      </w:r>
    </w:p>
    <w:p>
      <w:pPr>
        <w:pStyle w:val="ListBullet"/>
      </w:pPr>
      <w:r>
        <w:t>The demo URLs are the current browser-review environment; no persistent local server is required.</w:t>
      </w:r>
    </w:p>
    <w:p>
      <w:pPr>
        <w:pStyle w:val="ListBullet"/>
      </w:pPr>
      <w:r>
        <w:t>Production remains unchanged and gated on explicit demo acceptance.</w:t>
      </w:r>
    </w:p>
    <w:p>
      <w:pPr>
        <w:pStyle w:val="Heading1"/>
      </w:pPr>
      <w:r>
        <w:t>Week-close status fields</w:t>
      </w:r>
    </w:p>
    <w:p>
      <w:r>
        <w:t>Complete these fields on 31 July: demo release result; demo acceptance owner; production go/no-go decision; production authorization; backup identifiers; deployed release identifiers; smoke-test result; labelled test-record cleanup; monitoring outcome; rollback readiness; open risks and next dated action.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Demo and production hosting boundaries are documented and private files are confirmed inaccessible.</w:t>
      </w:r>
    </w:p>
    <w:p>
      <w:pPr>
        <w:pStyle w:val="ListBullet"/>
      </w:pPr>
      <w:r>
        <w:t>Demo backend, form, staff workflow, metrics, security controls and rollback pass.</w:t>
      </w:r>
    </w:p>
    <w:p>
      <w:pPr>
        <w:pStyle w:val="ListBullet"/>
      </w:pPr>
      <w:r>
        <w:t>Production is changed only after explicit authorization and same-day backups.</w:t>
      </w:r>
    </w:p>
    <w:p>
      <w:pPr>
        <w:pStyle w:val="ListBullet"/>
      </w:pPr>
      <w:r>
        <w:t>The production form is enabled only after backend health and signed submission checks pass.</w:t>
      </w:r>
    </w:p>
    <w:p>
      <w:pPr>
        <w:pStyle w:val="ListBullet"/>
      </w:pPr>
      <w:r>
        <w:t>Reception staff can identify and action website requests without confusing them with physical visits.</w:t>
      </w:r>
    </w:p>
    <w:p>
      <w:pPr>
        <w:pStyle w:val="ListBullet"/>
      </w:pPr>
      <w:r>
        <w:t>No secrets, visitor PII or request bodies are present in Git, milestone reports or analytics.</w:t>
      </w:r>
    </w:p>
    <w:p>
      <w:pPr>
        <w:pStyle w:val="ListBullet"/>
      </w:pPr>
      <w:r>
        <w:t>If any gate remains unmet, the milestone records a hold rather than claiming deployment completion.</w:t>
      </w:r>
    </w:p>
    <w:p>
      <w:pPr>
        <w:pStyle w:val="Heading1"/>
      </w:pPr>
      <w:r>
        <w:t>Demo deployment checkpoint — 28 July 2026</w:t>
      </w:r>
    </w:p>
    <w:p>
      <w:r>
        <w:t>Status: demo operational and ready for user acceptance; production remains on hold pending explicit approval.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Checkpoint</w:t>
            </w:r>
          </w:p>
        </w:tc>
        <w:tc>
          <w:tcPr>
            <w:tcW w:type="dxa" w:w="5112"/>
          </w:tcPr>
          <w:p>
            <w:r>
              <w:t>Evidence</w:t>
            </w:r>
          </w:p>
        </w:tc>
      </w:tr>
      <w:tr>
        <w:tc>
          <w:tcPr>
            <w:tcW w:type="dxa" w:w="5112"/>
          </w:tcPr>
          <w:p>
            <w:r>
              <w:t>Reception runtime</w:t>
            </w:r>
          </w:p>
        </w:tc>
        <w:tc>
          <w:tcPr>
            <w:tcW w:type="dxa" w:w="5112"/>
          </w:tcPr>
          <w:p>
            <w:r>
              <w:t>Dedicated demo database/user, private environment, migrations, seed and caches completed.</w:t>
            </w:r>
          </w:p>
        </w:tc>
      </w:tr>
      <w:tr>
        <w:tc>
          <w:tcPr>
            <w:tcW w:type="dxa" w:w="5112"/>
          </w:tcPr>
          <w:p>
            <w:r>
              <w:t>Backend validation</w:t>
            </w:r>
          </w:p>
        </w:tc>
        <w:tc>
          <w:tcPr>
            <w:tcW w:type="dxa" w:w="5112"/>
          </w:tcPr>
          <w:p>
            <w:r>
              <w:t>Public/login HTTP 200; valid signed request HTTP 201; invalid signature HTTP 401.</w:t>
            </w:r>
          </w:p>
        </w:tc>
      </w:tr>
      <w:tr>
        <w:tc>
          <w:tcPr>
            <w:tcW w:type="dxa" w:w="5112"/>
          </w:tcPr>
          <w:p>
            <w:r>
              <w:t>Website relay</w:t>
            </w:r>
          </w:p>
        </w:tc>
        <w:tc>
          <w:tcPr>
            <w:tcW w:type="dxa" w:w="5112"/>
          </w:tcPr>
          <w:p>
            <w:r>
              <w:t>WordPress demo returned a WEB reference and the follow-up appeared in Reception Control.</w:t>
            </w:r>
          </w:p>
        </w:tc>
      </w:tr>
      <w:tr>
        <w:tc>
          <w:tcPr>
            <w:tcW w:type="dxa" w:w="5112"/>
          </w:tcPr>
          <w:p>
            <w:r>
              <w:t>Public experience</w:t>
            </w:r>
          </w:p>
        </w:tc>
        <w:tc>
          <w:tcPr>
            <w:tcW w:type="dxa" w:w="5112"/>
          </w:tcPr>
          <w:p>
            <w:r>
              <w:t>Reception form and redesigned image/video galleries are live on demo.</w:t>
            </w:r>
          </w:p>
        </w:tc>
      </w:tr>
      <w:tr>
        <w:tc>
          <w:tcPr>
            <w:tcW w:type="dxa" w:w="5112"/>
          </w:tcPr>
          <w:p>
            <w:r>
              <w:t>Security cleanup</w:t>
            </w:r>
          </w:p>
        </w:tc>
        <w:tc>
          <w:tcPr>
            <w:tcW w:type="dxa" w:w="5112"/>
          </w:tcPr>
          <w:p>
            <w:r>
              <w:t>One-time setup runner removed and confirmed HTTP 404; secrets excluded from Git/report.</w:t>
            </w:r>
          </w:p>
        </w:tc>
      </w:tr>
      <w:tr>
        <w:tc>
          <w:tcPr>
            <w:tcW w:type="dxa" w:w="5112"/>
          </w:tcPr>
          <w:p>
            <w:r>
              <w:t>Git</w:t>
            </w:r>
          </w:p>
        </w:tc>
        <w:tc>
          <w:tcPr>
            <w:tcW w:type="dxa" w:w="5112"/>
          </w:tcPr>
          <w:p>
            <w:r>
              <w:t>Reception 7ed75ae and f16790c; WordPress 34ce395 and 7b08ae7.</w:t>
            </w:r>
          </w:p>
        </w:tc>
      </w:tr>
      <w:tr>
        <w:tc>
          <w:tcPr>
            <w:tcW w:type="dxa" w:w="5112"/>
          </w:tcPr>
          <w:p>
            <w:r>
              <w:t>Visual evidence</w:t>
            </w:r>
          </w:p>
        </w:tc>
        <w:tc>
          <w:tcPr>
            <w:tcW w:type="dxa" w:w="5112"/>
          </w:tcPr>
          <w:p>
            <w:r>
              <w:t>reports/deployment-evidence/2026-07-28/</w:t>
            </w:r>
          </w:p>
        </w:tc>
      </w:tr>
    </w:tbl>
    <w:p>
      <w:pPr>
        <w:pStyle w:val="Heading2"/>
      </w:pPr>
      <w:r>
        <w:t>Acceptance and remaining scope</w:t>
      </w:r>
    </w:p>
    <w:p>
      <w:pPr>
        <w:pStyle w:val="ListBullet"/>
      </w:pPr>
      <w:r>
        <w:t>User and reception owner review the four demo URLs on desktop and mobile.</w:t>
      </w:r>
    </w:p>
    <w:p>
      <w:pPr>
        <w:pStyle w:val="ListBullet"/>
      </w:pPr>
      <w:r>
        <w:t>Confirm wording, purposes, staff workflow, retention owner and backup schedule.</w:t>
      </w:r>
    </w:p>
    <w:p>
      <w:pPr>
        <w:pStyle w:val="ListBullet"/>
      </w:pPr>
      <w:r>
        <w:t>Delete the two clearly labelled demo verification records after acceptance.</w:t>
      </w:r>
    </w:p>
    <w:p>
      <w:pPr>
        <w:pStyle w:val="ListBullet"/>
      </w:pPr>
      <w:r>
        <w:t>Rehearse rollback and record the result.</w:t>
      </w:r>
    </w:p>
    <w:p>
      <w:pPr>
        <w:pStyle w:val="ListBullet"/>
      </w:pPr>
      <w:r>
        <w:t>Create fresh production-only database, HMAC and administrator secrets.</w:t>
      </w:r>
    </w:p>
    <w:p>
      <w:pPr>
        <w:pStyle w:val="ListBullet"/>
      </w:pPr>
      <w:r>
        <w:t>Take same-day production backups and deploy backend before enabling WordPress.</w:t>
      </w:r>
    </w:p>
    <w:p>
      <w:pPr>
        <w:pStyle w:val="ListBullet"/>
      </w:pPr>
      <w:r>
        <w:t>Run production smoke tests, remove test data, monitor and rotate cPanel credentials.</w:t>
      </w:r>
    </w:p>
    <w:p>
      <w:r>
        <w:t>No production application, database or public page was changed during this demo checkpoint.</w:t>
      </w:r>
    </w:p>
    <w:p>
      <w:pPr>
        <w:pStyle w:val="Heading1"/>
      </w:pPr>
      <w:r>
        <w:t>Gallery and cache delivery iteration — 28 July 2026</w:t>
      </w:r>
    </w:p>
    <w:p>
      <w:r>
        <w:t>The image and video galleries were redesigned as intentionally different Gen Z-facing experiences and deployed to demo. Production remains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Completed evidence</w:t>
            </w:r>
          </w:p>
        </w:tc>
      </w:tr>
      <w:tr>
        <w:tc>
          <w:tcPr>
            <w:tcW w:type="dxa" w:w="5112"/>
          </w:tcPr>
          <w:p>
            <w:r>
              <w:t>Image gallery</w:t>
            </w:r>
          </w:p>
        </w:tc>
        <w:tc>
          <w:tcPr>
            <w:tcW w:type="dxa" w:w="5112"/>
          </w:tcPr>
          <w:p>
            <w:r>
              <w:t>Editorial photo-zine layout, asymmetric collage, captions, stickers and accessible lightbox.</w:t>
            </w:r>
          </w:p>
        </w:tc>
      </w:tr>
      <w:tr>
        <w:tc>
          <w:tcPr>
            <w:tcW w:type="dxa" w:w="5112"/>
          </w:tcPr>
          <w:p>
            <w:r>
              <w:t>Video gallery</w:t>
            </w:r>
          </w:p>
        </w:tc>
        <w:tc>
          <w:tcPr>
            <w:tcW w:type="dxa" w:w="5112"/>
          </w:tcPr>
          <w:p>
            <w:r>
              <w:t>Independent dark watch-room theme with live-channel hero, neon treatment and numbered episodes.</w:t>
            </w:r>
          </w:p>
        </w:tc>
      </w:tr>
      <w:tr>
        <w:tc>
          <w:tcPr>
            <w:tcW w:type="dxa" w:w="5112"/>
          </w:tcPr>
          <w:p>
            <w:r>
              <w:t>Cache defect</w:t>
            </w:r>
          </w:p>
        </w:tc>
        <w:tc>
          <w:tcPr>
            <w:tcW w:type="dxa" w:w="5112"/>
          </w:tcPr>
          <w:p>
            <w:r>
              <w:t>Legacy filters stripping WordPress asset version keys were identified and removed.</w:t>
            </w:r>
          </w:p>
        </w:tc>
      </w:tr>
      <w:tr>
        <w:tc>
          <w:tcPr>
            <w:tcW w:type="dxa" w:w="5112"/>
          </w:tcPr>
          <w:p>
            <w:r>
              <w:t>Release control</w:t>
            </w:r>
          </w:p>
        </w:tc>
        <w:tc>
          <w:tcPr>
            <w:tcW w:type="dxa" w:w="5112"/>
          </w:tcPr>
          <w:p>
            <w:r>
              <w:t>Release 2026.07.28.4 combines release and file-time cache keys and triggers one LiteSpeed/object-cache purge.</w:t>
            </w:r>
          </w:p>
        </w:tc>
      </w:tr>
      <w:tr>
        <w:tc>
          <w:tcPr>
            <w:tcW w:type="dxa" w:w="5112"/>
          </w:tcPr>
          <w:p>
            <w:r>
              <w:t>Remote verification</w:t>
            </w:r>
          </w:p>
        </w:tc>
        <w:tc>
          <w:tcPr>
            <w:tcW w:type="dxa" w:w="5112"/>
          </w:tcPr>
          <w:p>
            <w:r>
              <w:t>Versioned CSS/JavaScript URLs, X-Toolkit-Release 2026.07.28.4 and LiteSpeed cache miss confirmed.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Updated Gen Z gallery screenshots saved under reports/deployment-evidence/2026-07-28/.</w:t>
            </w:r>
          </w:p>
        </w:tc>
      </w:tr>
    </w:tbl>
    <w:p>
      <w:r>
        <w:t>Operational rule: increment the theme release for every public change, deploy assets before functions.php, trigger one uncached request and verify the release header, versioned URLs and cache miss.</w:t>
      </w:r>
    </w:p>
    <w:p>
      <w:pPr>
        <w:pStyle w:val="Heading1"/>
      </w:pPr>
      <w:r>
        <w:t>Approved gallery release — 28 July 2026</w:t>
      </w:r>
    </w:p>
    <w:p>
      <w:r>
        <w:t>Following local stakeholder review, the replacement gallery experience was deployed to demo as release 2026.07.28.6. Production remains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Accepted result</w:t>
            </w:r>
          </w:p>
        </w:tc>
      </w:tr>
      <w:tr>
        <w:tc>
          <w:tcPr>
            <w:tcW w:type="dxa" w:w="5112"/>
          </w:tcPr>
          <w:p>
            <w:r>
              <w:t>Image gallery</w:t>
            </w:r>
          </w:p>
        </w:tc>
        <w:tc>
          <w:tcPr>
            <w:tcW w:type="dxa" w:w="5112"/>
          </w:tcPr>
          <w:p>
            <w:r>
              <w:t>Vintage pinned journey wall with field notes, numbered stops, guide path and accessible lightbox.</w:t>
            </w:r>
          </w:p>
        </w:tc>
      </w:tr>
      <w:tr>
        <w:tc>
          <w:tcPr>
            <w:tcW w:type="dxa" w:w="5112"/>
          </w:tcPr>
          <w:p>
            <w:r>
              <w:t>Video gallery</w:t>
            </w:r>
          </w:p>
        </w:tc>
        <w:tc>
          <w:tcPr>
            <w:tcW w:type="dxa" w:w="5112"/>
          </w:tcPr>
          <w:p>
            <w:r>
              <w:t>One primary 16:9 player, six thumbnail playlist choices, active episode state and native YouTube controls.</w:t>
            </w:r>
          </w:p>
        </w:tc>
      </w:tr>
      <w:tr>
        <w:tc>
          <w:tcPr>
            <w:tcW w:type="dxa" w:w="5112"/>
          </w:tcPr>
          <w:p>
            <w:r>
              <w:t>Hero refinement</w:t>
            </w:r>
          </w:p>
        </w:tc>
        <w:tc>
          <w:tcPr>
            <w:tcW w:type="dxa" w:w="5112"/>
          </w:tcPr>
          <w:p>
            <w:r>
              <w:t>Forced minimum height removed and vertical padding reduced so the player enters the first viewport.</w:t>
            </w:r>
          </w:p>
        </w:tc>
      </w:tr>
      <w:tr>
        <w:tc>
          <w:tcPr>
            <w:tcW w:type="dxa" w:w="5112"/>
          </w:tcPr>
          <w:p>
            <w:r>
              <w:t>Brand integration</w:t>
            </w:r>
          </w:p>
        </w:tc>
        <w:tc>
          <w:tcPr>
            <w:tcW w:type="dxa" w:w="5112"/>
          </w:tcPr>
          <w:p>
            <w:r>
              <w:t>Orange, olive, peach, neutral and dark Toolkit tokens used; conflicting global button styling corrected.</w:t>
            </w:r>
          </w:p>
        </w:tc>
      </w:tr>
      <w:tr>
        <w:tc>
          <w:tcPr>
            <w:tcW w:type="dxa" w:w="5112"/>
          </w:tcPr>
          <w:p>
            <w:r>
              <w:t>Site chrome</w:t>
            </w:r>
          </w:p>
        </w:tc>
        <w:tc>
          <w:tcPr>
            <w:tcW w:type="dxa" w:w="5112"/>
          </w:tcPr>
          <w:p>
            <w:r>
              <w:t>Complete Toolkit header and footer confirmed on both demo gallery routes.</w:t>
            </w:r>
          </w:p>
        </w:tc>
      </w:tr>
      <w:tr>
        <w:tc>
          <w:tcPr>
            <w:tcW w:type="dxa" w:w="5112"/>
          </w:tcPr>
          <w:p>
            <w:r>
              <w:t>Cache/evidence</w:t>
            </w:r>
          </w:p>
        </w:tc>
        <w:tc>
          <w:tcPr>
            <w:tcW w:type="dxa" w:w="5112"/>
          </w:tcPr>
          <w:p>
            <w:r>
              <w:t>Release header 2026.07.28.6, versioned assets, LiteSpeed miss and updated screenshots confirmed.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Toolkit Africa | WMR-13 | Reception Integration and Deployment Readiness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6A68"/>
        <w:sz w:val="16"/>
      </w:rPr>
      <w:t>TOOLKIT AFRICA  /  WEEKLY MILESTONE 13  /  27-31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