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3A"/>
          <w:sz w:val="20"/>
        </w:rPr>
        <w:t>TOOLKIT AFRICA</w:t>
      </w:r>
    </w:p>
    <w:p>
      <w:pPr>
        <w:pStyle w:val="Title"/>
        <w:jc w:val="center"/>
      </w:pPr>
      <w:r>
        <w:t>Daily Work Report</w:t>
      </w:r>
    </w:p>
    <w:p>
      <w:pPr>
        <w:jc w:val="center"/>
      </w:pPr>
      <w:r>
        <w:rPr>
          <w:color w:val="5F6C69"/>
        </w:rPr>
        <w:t>SMART LECTURER / VIRTUAL CAMPUS  |  27 JULY 2026</w:t>
      </w:r>
    </w:p>
    <w:p>
      <w:pPr>
        <w:pStyle w:val="Heading1"/>
      </w:pPr>
      <w:r>
        <w:t>Work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Work item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t>Research and requirement review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Guidance, face specification and animation/voice upgrade documents reviewed.</w:t>
            </w:r>
          </w:p>
        </w:tc>
      </w:tr>
      <w:tr>
        <w:tc>
          <w:tcPr>
            <w:tcW w:type="dxa" w:w="3408"/>
          </w:tcPr>
          <w:p>
            <w:r>
              <w:t>Prototype interface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Responsive lecturer/chat interface and accessibility fallbacks implemented.</w:t>
            </w:r>
          </w:p>
        </w:tc>
      </w:tr>
      <w:tr>
        <w:tc>
          <w:tcPr>
            <w:tcW w:type="dxa" w:w="3408"/>
          </w:tcPr>
          <w:p>
            <w:r>
              <w:t>Local voice pipeline</w:t>
            </w:r>
          </w:p>
        </w:tc>
        <w:tc>
          <w:tcPr>
            <w:tcW w:type="dxa" w:w="3408"/>
          </w:tcPr>
          <w:p>
            <w:r>
              <w:t>Complete prototype</w:t>
            </w:r>
          </w:p>
        </w:tc>
        <w:tc>
          <w:tcPr>
            <w:tcW w:type="dxa" w:w="3408"/>
          </w:tcPr>
          <w:p>
            <w:r>
              <w:t>Kokoro audio and Rhubarb timing cues generated for five answers.</w:t>
            </w:r>
          </w:p>
        </w:tc>
      </w:tr>
      <w:tr>
        <w:tc>
          <w:tcPr>
            <w:tcW w:type="dxa" w:w="3408"/>
          </w:tcPr>
          <w:p>
            <w:r>
              <w:t>3D motion controller</w:t>
            </w:r>
          </w:p>
        </w:tc>
        <w:tc>
          <w:tcPr>
            <w:tcW w:type="dxa" w:w="3408"/>
          </w:tcPr>
          <w:p>
            <w:r>
              <w:t>Complete prototype</w:t>
            </w:r>
          </w:p>
        </w:tc>
        <w:tc>
          <w:tcPr>
            <w:tcW w:type="dxa" w:w="3408"/>
          </w:tcPr>
          <w:p>
            <w:r>
              <w:t>Three.js fixed lighting, autonomous head motion and blink logic.</w:t>
            </w:r>
          </w:p>
        </w:tc>
      </w:tr>
      <w:tr>
        <w:tc>
          <w:tcPr>
            <w:tcW w:type="dxa" w:w="3408"/>
          </w:tcPr>
          <w:p>
            <w:r>
              <w:t>MPFB diagnostic model</w:t>
            </w:r>
          </w:p>
        </w:tc>
        <w:tc>
          <w:tcPr>
            <w:tcW w:type="dxa" w:w="3408"/>
          </w:tcPr>
          <w:p>
            <w:r>
              <w:t>Complete / rejected for final browser face</w:t>
            </w:r>
          </w:p>
        </w:tc>
        <w:tc>
          <w:tcPr>
            <w:tcW w:type="dxa" w:w="3408"/>
          </w:tcPr>
          <w:p>
            <w:r>
              <w:t>Blender renders coherent; browser facial helper topology shows seams.</w:t>
            </w:r>
          </w:p>
        </w:tc>
      </w:tr>
      <w:tr>
        <w:tc>
          <w:tcPr>
            <w:tcW w:type="dxa" w:w="3408"/>
          </w:tcPr>
          <w:p>
            <w:r>
              <w:t>Meshy acquisition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A-pose Image-to-3D model generated, textured and downloaded.</w:t>
            </w:r>
          </w:p>
        </w:tc>
      </w:tr>
      <w:tr>
        <w:tc>
          <w:tcPr>
            <w:tcW w:type="dxa" w:w="3408"/>
          </w:tcPr>
          <w:p>
            <w:r>
              <w:t>Meshy structural validation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One 8.2 MB mesh; 63,094 triangles; no armature or blend shapes.</w:t>
            </w:r>
          </w:p>
        </w:tc>
      </w:tr>
      <w:tr>
        <w:tc>
          <w:tcPr>
            <w:tcW w:type="dxa" w:w="3408"/>
          </w:tcPr>
          <w:p>
            <w:r>
              <w:t>Runtime integration</w:t>
            </w:r>
          </w:p>
        </w:tc>
        <w:tc>
          <w:tcPr>
            <w:tcW w:type="dxa" w:w="3408"/>
          </w:tcPr>
          <w:p>
            <w:r>
              <w:t>Not complete</w:t>
            </w:r>
          </w:p>
        </w:tc>
        <w:tc>
          <w:tcPr>
            <w:tcW w:type="dxa" w:w="3408"/>
          </w:tcPr>
          <w:p>
            <w:r>
              <w:t>Application continues to serve the older diagnostic GLB.</w:t>
            </w:r>
          </w:p>
        </w:tc>
      </w:tr>
    </w:tbl>
    <w:p>
      <w:pPr>
        <w:pStyle w:val="Heading1"/>
      </w:pPr>
      <w:r>
        <w:t>Tests and observations</w:t>
      </w:r>
    </w:p>
    <w:p>
      <w:pPr>
        <w:pStyle w:val="ListBullet"/>
      </w:pPr>
      <w:r>
        <w:t>Vite production build passed on 27 July 2026.</w:t>
      </w:r>
    </w:p>
    <w:p>
      <w:pPr>
        <w:pStyle w:val="ListBullet"/>
      </w:pPr>
      <w:r>
        <w:t>Blender imported the downloaded Meshy GLB successfully.</w:t>
      </w:r>
    </w:p>
    <w:p>
      <w:pPr>
        <w:pStyle w:val="ListBullet"/>
      </w:pPr>
      <w:r>
        <w:t>The downloaded and runtime GLB SHA-256 values differ, proving integration is pending.</w:t>
      </w:r>
    </w:p>
    <w:p>
      <w:pPr>
        <w:pStyle w:val="ListBullet"/>
      </w:pPr>
      <w:r>
        <w:t>Local review ports 5173 and 5174 were not active at the final audit.</w:t>
      </w:r>
    </w:p>
    <w:p>
      <w:pPr>
        <w:pStyle w:val="ListBullet"/>
      </w:pPr>
      <w:r>
        <w:t>Earlier Brave captures are diagnostic and must not be presented as Meshy acceptance evidence.</w:t>
      </w:r>
    </w:p>
    <w:p>
      <w:pPr>
        <w:pStyle w:val="Heading1"/>
      </w:pPr>
      <w:r>
        <w:t>Issues /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Resolution path</w:t>
            </w:r>
          </w:p>
        </w:tc>
      </w:tr>
      <w:tr>
        <w:tc>
          <w:tcPr>
            <w:tcW w:type="dxa" w:w="3408"/>
          </w:tcPr>
          <w:p>
            <w:r>
              <w:t>Meshy character is static</w:t>
            </w:r>
          </w:p>
        </w:tc>
        <w:tc>
          <w:tcPr>
            <w:tcW w:type="dxa" w:w="3408"/>
          </w:tcPr>
          <w:p>
            <w:r>
              <w:t>No skeleton or facial shape keys</w:t>
            </w:r>
          </w:p>
        </w:tc>
        <w:tc>
          <w:tcPr>
            <w:tcW w:type="dxa" w:w="3408"/>
          </w:tcPr>
          <w:p>
            <w:r>
              <w:t>Author head/neck rig, blink and speech shapes locally.</w:t>
            </w:r>
          </w:p>
        </w:tc>
      </w:tr>
      <w:tr>
        <w:tc>
          <w:tcPr>
            <w:tcW w:type="dxa" w:w="3408"/>
          </w:tcPr>
          <w:p>
            <w:r>
              <w:t>Facial quality under deformation unknown</w:t>
            </w:r>
          </w:p>
        </w:tc>
        <w:tc>
          <w:tcPr>
            <w:tcW w:type="dxa" w:w="3408"/>
          </w:tcPr>
          <w:p>
            <w:r>
              <w:t>No animation test exists</w:t>
            </w:r>
          </w:p>
        </w:tc>
        <w:tc>
          <w:tcPr>
            <w:tcW w:type="dxa" w:w="3408"/>
          </w:tcPr>
          <w:p>
            <w:r>
              <w:t>Render neutral, head-turn and speaking proofs before browser export.</w:t>
            </w:r>
          </w:p>
        </w:tc>
      </w:tr>
      <w:tr>
        <w:tc>
          <w:tcPr>
            <w:tcW w:type="dxa" w:w="3408"/>
          </w:tcPr>
          <w:p>
            <w:r>
              <w:t>Runtime verification unavailable</w:t>
            </w:r>
          </w:p>
        </w:tc>
        <w:tc>
          <w:tcPr>
            <w:tcW w:type="dxa" w:w="3408"/>
          </w:tcPr>
          <w:p>
            <w:r>
              <w:t>Integration and local server pending</w:t>
            </w:r>
          </w:p>
        </w:tc>
        <w:tc>
          <w:tcPr>
            <w:tcW w:type="dxa" w:w="3408"/>
          </w:tcPr>
          <w:p>
            <w:r>
              <w:t>Replace runtime asset only after rig proof; rerun Brave suite.</w:t>
            </w:r>
          </w:p>
        </w:tc>
      </w:tr>
    </w:tbl>
    <w:p>
      <w:pPr>
        <w:pStyle w:val="Heading1"/>
      </w:pPr>
      <w:r>
        <w:t>Resources and cost</w:t>
      </w:r>
    </w:p>
    <w:p>
      <w:r>
        <w:t>No paid subscription was used. Meshy balance displayed 100 credits after the accepted Image-to-3D and texture operations. One free Meshy 5 GLB download allowance was used.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C69"/>
        <w:sz w:val="14"/>
      </w:rPr>
      <w:t>Daily Work — Smart Lecturer  |  Internal working report  |  No credentials or learner PII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