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3A"/>
          <w:sz w:val="20"/>
        </w:rPr>
        <w:t>TOOLKIT AFRICA</w:t>
      </w:r>
    </w:p>
    <w:p>
      <w:pPr>
        <w:pStyle w:val="Title"/>
        <w:jc w:val="center"/>
      </w:pPr>
      <w:r>
        <w:t>Daily Work Report</w:t>
      </w:r>
    </w:p>
    <w:p>
      <w:pPr>
        <w:jc w:val="center"/>
      </w:pPr>
      <w:r>
        <w:rPr>
          <w:color w:val="5F6C69"/>
        </w:rPr>
        <w:t>SMART LECTURER / VIRTUAL CAMPUS  |  29 JULY 2026</w:t>
      </w:r>
    </w:p>
    <w:p>
      <w:pPr>
        <w:pStyle w:val="Heading1"/>
      </w:pPr>
      <w:r>
        <w:t>Work completed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Work item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t>Research and requirement review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Guidance, face specification and animation/voice upgrade documents reviewed.</w:t>
            </w:r>
          </w:p>
        </w:tc>
      </w:tr>
      <w:tr>
        <w:tc>
          <w:tcPr>
            <w:tcW w:type="dxa" w:w="3408"/>
          </w:tcPr>
          <w:p>
            <w:r>
              <w:t>Prototype interface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Responsive lecturer/chat interface and accessibility fallbacks implemented.</w:t>
            </w:r>
          </w:p>
        </w:tc>
      </w:tr>
      <w:tr>
        <w:tc>
          <w:tcPr>
            <w:tcW w:type="dxa" w:w="3408"/>
          </w:tcPr>
          <w:p>
            <w:r>
              <w:t>Local voice pipeline</w:t>
            </w:r>
          </w:p>
        </w:tc>
        <w:tc>
          <w:tcPr>
            <w:tcW w:type="dxa" w:w="3408"/>
          </w:tcPr>
          <w:p>
            <w:r>
              <w:t>Complete prototype</w:t>
            </w:r>
          </w:p>
        </w:tc>
        <w:tc>
          <w:tcPr>
            <w:tcW w:type="dxa" w:w="3408"/>
          </w:tcPr>
          <w:p>
            <w:r>
              <w:t>Kokoro audio and Rhubarb timing cues generated for five answers.</w:t>
            </w:r>
          </w:p>
        </w:tc>
      </w:tr>
      <w:tr>
        <w:tc>
          <w:tcPr>
            <w:tcW w:type="dxa" w:w="3408"/>
          </w:tcPr>
          <w:p>
            <w:r>
              <w:t>3D motion controller</w:t>
            </w:r>
          </w:p>
        </w:tc>
        <w:tc>
          <w:tcPr>
            <w:tcW w:type="dxa" w:w="3408"/>
          </w:tcPr>
          <w:p>
            <w:r>
              <w:t>Complete prototype</w:t>
            </w:r>
          </w:p>
        </w:tc>
        <w:tc>
          <w:tcPr>
            <w:tcW w:type="dxa" w:w="3408"/>
          </w:tcPr>
          <w:p>
            <w:r>
              <w:t>Three.js fixed lighting, autonomous head motion and blink logic.</w:t>
            </w:r>
          </w:p>
        </w:tc>
      </w:tr>
      <w:tr>
        <w:tc>
          <w:tcPr>
            <w:tcW w:type="dxa" w:w="3408"/>
          </w:tcPr>
          <w:p>
            <w:r>
              <w:t>MPFB diagnostic model</w:t>
            </w:r>
          </w:p>
        </w:tc>
        <w:tc>
          <w:tcPr>
            <w:tcW w:type="dxa" w:w="3408"/>
          </w:tcPr>
          <w:p>
            <w:r>
              <w:t>Complete / rejected for final browser face</w:t>
            </w:r>
          </w:p>
        </w:tc>
        <w:tc>
          <w:tcPr>
            <w:tcW w:type="dxa" w:w="3408"/>
          </w:tcPr>
          <w:p>
            <w:r>
              <w:t>Blender renders coherent; browser facial helper topology shows seams.</w:t>
            </w:r>
          </w:p>
        </w:tc>
      </w:tr>
      <w:tr>
        <w:tc>
          <w:tcPr>
            <w:tcW w:type="dxa" w:w="3408"/>
          </w:tcPr>
          <w:p>
            <w:r>
              <w:t>Meshy acquisition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A-pose Image-to-3D model generated, textured and downloaded.</w:t>
            </w:r>
          </w:p>
        </w:tc>
      </w:tr>
      <w:tr>
        <w:tc>
          <w:tcPr>
            <w:tcW w:type="dxa" w:w="3408"/>
          </w:tcPr>
          <w:p>
            <w:r>
              <w:t>Meshy structural validation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One 8.2 MB mesh; 63,094 triangles; no armature or blend shapes.</w:t>
            </w:r>
          </w:p>
        </w:tc>
      </w:tr>
      <w:tr>
        <w:tc>
          <w:tcPr>
            <w:tcW w:type="dxa" w:w="3408"/>
          </w:tcPr>
          <w:p>
            <w:r>
              <w:t>Runtime integration</w:t>
            </w:r>
          </w:p>
        </w:tc>
        <w:tc>
          <w:tcPr>
            <w:tcW w:type="dxa" w:w="3408"/>
          </w:tcPr>
          <w:p>
            <w:r>
              <w:t>Complete prototype</w:t>
            </w:r>
          </w:p>
        </w:tc>
        <w:tc>
          <w:tcPr>
            <w:tcW w:type="dxa" w:w="3408"/>
          </w:tcPr>
          <w:p>
            <w:r>
              <w:t>Application serves the rigged Meshy GLB with fixed lights and controller.</w:t>
            </w:r>
          </w:p>
        </w:tc>
      </w:tr>
    </w:tbl>
    <w:p>
      <w:pPr>
        <w:pStyle w:val="Heading1"/>
      </w:pPr>
      <w:r>
        <w:t>Tests and observations</w:t>
      </w:r>
    </w:p>
    <w:p>
      <w:pPr>
        <w:pStyle w:val="ListBullet"/>
      </w:pPr>
      <w:r>
        <w:t>Vite production build passed on 27 July 2026.</w:t>
      </w:r>
    </w:p>
    <w:p>
      <w:pPr>
        <w:pStyle w:val="ListBullet"/>
      </w:pPr>
      <w:r>
        <w:t>Blender imported the downloaded Meshy GLB successfully.</w:t>
      </w:r>
    </w:p>
    <w:p>
      <w:pPr>
        <w:pStyle w:val="ListBullet"/>
      </w:pPr>
      <w:r>
        <w:t>The runtime GLB is the locally rigged derivative and contains the expected head bone and ten morph targets.</w:t>
      </w:r>
    </w:p>
    <w:p>
      <w:pPr>
        <w:pStyle w:val="ListBullet"/>
      </w:pPr>
      <w:r>
        <w:t>Local Vite application and GLB returned HTTP 200 on port 5173.</w:t>
      </w:r>
    </w:p>
    <w:p>
      <w:pPr>
        <w:pStyle w:val="ListBullet"/>
      </w:pPr>
      <w:r>
        <w:t>Brave desktop, tablet and mobile assertions passed with live non-zero viseme influence.</w:t>
      </w:r>
    </w:p>
    <w:p>
      <w:pPr>
        <w:pStyle w:val="Heading1"/>
      </w:pPr>
      <w:r>
        <w:t>Issues /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Resolution path</w:t>
            </w:r>
          </w:p>
        </w:tc>
      </w:tr>
      <w:tr>
        <w:tc>
          <w:tcPr>
            <w:tcW w:type="dxa" w:w="3408"/>
          </w:tcPr>
          <w:p>
            <w:r>
              <w:t>Professional visual approval pending</w:t>
            </w:r>
          </w:p>
        </w:tc>
        <w:tc>
          <w:tcPr>
            <w:tcW w:type="dxa" w:w="3408"/>
          </w:tcPr>
          <w:p>
            <w:r>
              <w:t>Automated checks cannot judge institutional suitability</w:t>
            </w:r>
          </w:p>
        </w:tc>
        <w:tc>
          <w:tcPr>
            <w:tcW w:type="dxa" w:w="3408"/>
          </w:tcPr>
          <w:p>
            <w:r>
              <w:t>Run the required human-likeness review.</w:t>
            </w:r>
          </w:p>
        </w:tc>
      </w:tr>
      <w:tr>
        <w:tc>
          <w:tcPr>
            <w:tcW w:type="dxa" w:w="3408"/>
          </w:tcPr>
          <w:p>
            <w:r>
              <w:t>Facial shapes are procedural</w:t>
            </w:r>
          </w:p>
        </w:tc>
        <w:tc>
          <w:tcPr>
            <w:tcW w:type="dxa" w:w="3408"/>
          </w:tcPr>
          <w:p>
            <w:r>
              <w:t>No production facial scan/artist rig</w:t>
            </w:r>
          </w:p>
        </w:tc>
        <w:tc>
          <w:tcPr>
            <w:tcW w:type="dxa" w:w="3408"/>
          </w:tcPr>
          <w:p>
            <w:r>
              <w:t>Refine visemes against close-up human review.</w:t>
            </w:r>
          </w:p>
        </w:tc>
      </w:tr>
      <w:tr>
        <w:tc>
          <w:tcPr>
            <w:tcW w:type="dxa" w:w="3408"/>
          </w:tcPr>
          <w:p>
            <w:r>
              <w:t>Bundle remains large</w:t>
            </w:r>
          </w:p>
        </w:tc>
        <w:tc>
          <w:tcPr>
            <w:tcW w:type="dxa" w:w="3408"/>
          </w:tcPr>
          <w:p>
            <w:r>
              <w:t>Three.js and 8.1 MB GLB</w:t>
            </w:r>
          </w:p>
        </w:tc>
        <w:tc>
          <w:tcPr>
            <w:tcW w:type="dxa" w:w="3408"/>
          </w:tcPr>
          <w:p>
            <w:r>
              <w:t>Profile before non-destructive optimization.</w:t>
            </w:r>
          </w:p>
        </w:tc>
      </w:tr>
    </w:tbl>
    <w:p>
      <w:pPr>
        <w:pStyle w:val="Heading1"/>
      </w:pPr>
      <w:r>
        <w:t>Resources and cost</w:t>
      </w:r>
    </w:p>
    <w:p>
      <w:r>
        <w:t>No paid subscription was used. Meshy balance displayed 100 credits after the accepted Image-to-3D and texture operations. One free Meshy 5 GLB download allowance was used.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C69"/>
        <w:sz w:val="14"/>
      </w:rPr>
      <w:t>Daily Work — Smart Lecturer  |  Internal working report  |  No credentials or learner PII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