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jc w:val="center"/>
        <w:rPr/>
      </w:pPr>
      <w:r>
        <w:rPr/>
        <w:drawing>
          <wp:inline distT="0" distB="0" distL="0" distR="0">
            <wp:extent cx="1325880" cy="954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954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  <w:color w:val="FF6600"/>
          <w:sz w:val="18"/>
        </w:rPr>
        <w:t xml:space="preserve">WEBSITE MODERNISATION </w:t>
      </w:r>
    </w:p>
    <w:p>
      <w:pPr>
        <w:pStyle w:val="Title"/>
        <w:jc w:val="center"/>
        <w:rPr/>
      </w:pPr>
      <w:r>
        <w:rPr/>
        <w:t>Major Pages, SEO, Analytics and Demo Release</w:t>
      </w:r>
    </w:p>
    <w:p>
      <w:pPr>
        <w:pStyle w:val="Normal"/>
        <w:jc w:val="center"/>
        <w:rPr/>
      </w:pPr>
      <w:r>
        <w:rPr>
          <w:b/>
          <w:color w:val="969E2A"/>
          <w:sz w:val="26"/>
        </w:rPr>
        <w:t>13-16 July 2026</w:t>
      </w:r>
    </w:p>
    <w:tbl>
      <w:tblPr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75"/>
        <w:gridCol w:w="6841"/>
      </w:tblGrid>
      <w:tr>
        <w:trPr/>
        <w:tc>
          <w:tcPr>
            <w:tcW w:w="2375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shd w:fill="006A68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00"/>
              <w:jc w:val="start"/>
              <w:rPr/>
            </w:pPr>
            <w:r>
              <w:rPr>
                <w:b/>
                <w:color w:val="FFFFFF"/>
              </w:rPr>
              <w:t>Report number</w:t>
            </w:r>
          </w:p>
        </w:tc>
        <w:tc>
          <w:tcPr>
            <w:tcW w:w="6841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00"/>
              <w:jc w:val="start"/>
              <w:rPr/>
            </w:pPr>
            <w:r>
              <w:rPr/>
              <w:t>WMR-07</w:t>
            </w:r>
          </w:p>
        </w:tc>
      </w:tr>
      <w:tr>
        <w:trPr/>
        <w:tc>
          <w:tcPr>
            <w:tcW w:w="2375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shd w:fill="006A68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00"/>
              <w:jc w:val="start"/>
              <w:rPr/>
            </w:pPr>
            <w:r>
              <w:rPr>
                <w:b/>
                <w:color w:val="FFFFFF"/>
              </w:rPr>
              <w:t>Issue date</w:t>
            </w:r>
          </w:p>
        </w:tc>
        <w:tc>
          <w:tcPr>
            <w:tcW w:w="6841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00"/>
              <w:jc w:val="start"/>
              <w:rPr/>
            </w:pPr>
            <w:r>
              <w:rPr/>
              <w:t>16 July 2026</w:t>
            </w:r>
          </w:p>
        </w:tc>
      </w:tr>
      <w:tr>
        <w:trPr/>
        <w:tc>
          <w:tcPr>
            <w:tcW w:w="2375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shd w:fill="006A68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00"/>
              <w:jc w:val="start"/>
              <w:rPr/>
            </w:pPr>
            <w:r>
              <w:rPr>
                <w:b/>
                <w:color w:val="FFFFFF"/>
              </w:rPr>
              <w:t>Delivery status</w:t>
            </w:r>
          </w:p>
        </w:tc>
        <w:tc>
          <w:tcPr>
            <w:tcW w:w="6841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00"/>
              <w:jc w:val="start"/>
              <w:rPr/>
            </w:pPr>
            <w:r>
              <w:rPr/>
              <w:t>Complete through 16 July</w:t>
            </w:r>
          </w:p>
        </w:tc>
      </w:tr>
      <w:tr>
        <w:trPr/>
        <w:tc>
          <w:tcPr>
            <w:tcW w:w="2375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shd w:fill="006A68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00"/>
              <w:jc w:val="start"/>
              <w:rPr/>
            </w:pPr>
            <w:r>
              <w:rPr>
                <w:b/>
                <w:color w:val="FFFFFF"/>
              </w:rPr>
              <w:t>Evidence note</w:t>
            </w:r>
          </w:p>
        </w:tc>
        <w:tc>
          <w:tcPr>
            <w:tcW w:w="6841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00"/>
              <w:jc w:val="start"/>
              <w:rPr/>
            </w:pPr>
            <w:r>
              <w:rPr/>
              <w:t>Page captures were taken on 16 July 2026 for consistent comparison.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24" w:type="dxa"/>
        <w:jc w:val="start"/>
        <w:tblInd w:w="9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224"/>
      </w:tblGrid>
      <w:tr>
        <w:trPr/>
        <w:tc>
          <w:tcPr>
            <w:tcW w:w="10224" w:type="dxa"/>
            <w:tcBorders>
              <w:top w:val="single" w:sz="10" w:space="0" w:color="969E2A"/>
              <w:start w:val="single" w:sz="10" w:space="0" w:color="969E2A"/>
              <w:bottom w:val="single" w:sz="10" w:space="0" w:color="969E2A"/>
              <w:end w:val="single" w:sz="10" w:space="0" w:color="969E2A"/>
            </w:tcBorders>
            <w:shd w:fill="F4F6F2" w:val="clear"/>
          </w:tcPr>
          <w:p>
            <w:pPr>
              <w:pStyle w:val="Normal"/>
              <w:widowControl/>
              <w:bidi w:val="0"/>
              <w:spacing w:lineRule="auto" w:line="259" w:before="0" w:after="100"/>
              <w:jc w:val="start"/>
              <w:rPr/>
            </w:pPr>
            <w:r>
              <w:rPr>
                <w:b/>
                <w:color w:val="969E2A"/>
              </w:rPr>
              <w:t>WEEKLY OUTCOME</w:t>
              <w:br/>
            </w:r>
            <w:r>
              <w:rPr/>
              <w:t>Completed the first coherent demo release across major pages, data controls, SEO, analytics and rollback operations, with the production domain intentionally unchanged.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r>
        <w:rPr/>
        <w:t>1. Executive Summary</w:t>
      </w:r>
    </w:p>
    <w:p>
      <w:pPr>
        <w:pStyle w:val="Normal"/>
        <w:rPr/>
      </w:pPr>
      <w:r>
        <w:rPr/>
        <w:t>Completed the first coherent demo release across major pages, data controls, SEO, analytics and rollback operations, with the production domain intentionally unchanged.</w:t>
      </w:r>
    </w:p>
    <w:p>
      <w:pPr>
        <w:pStyle w:val="Heading1"/>
        <w:rPr/>
      </w:pPr>
      <w:r>
        <w:rPr/>
        <w:t>2. Milestone Status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fill="006A68" w:val="clea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Milestone</w:t>
            </w:r>
          </w:p>
        </w:tc>
        <w:tc>
          <w:tcPr>
            <w:tcW w:w="3408" w:type="dxa"/>
            <w:tcBorders/>
            <w:shd w:fill="006A68" w:val="clea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3408" w:type="dxa"/>
            <w:tcBorders/>
            <w:shd w:fill="006A68" w:val="clea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Evidence / outcome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Major-page release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969E2A"/>
                <w:kern w:val="0"/>
                <w:szCs w:val="22"/>
                <w:lang w:val="en-US" w:eastAsia="en-US" w:bidi="ar-SA"/>
              </w:rPr>
              <w:t>Complete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Eight priority routes redesigned and deployed to demo.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SEO implementation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969E2A"/>
                <w:kern w:val="0"/>
                <w:szCs w:val="22"/>
                <w:lang w:val="en-US" w:eastAsia="en-US" w:bidi="ar-SA"/>
              </w:rPr>
              <w:t>Complete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Metadata, canonicals, social previews and schema controls added.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Operational controls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969E2A"/>
                <w:kern w:val="0"/>
                <w:szCs w:val="22"/>
                <w:lang w:val="en-US" w:eastAsia="en-US" w:bidi="ar-SA"/>
              </w:rPr>
              <w:t>Complete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Metrics, feature switches, seeders and rollback workflow available.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Demo verification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969E2A"/>
                <w:kern w:val="0"/>
                <w:szCs w:val="22"/>
                <w:lang w:val="en-US" w:eastAsia="en-US" w:bidi="ar-SA"/>
              </w:rPr>
              <w:t>Complete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HTTP, asset, syntax, cache and visual checks passed.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Main-domain cutover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FF6600"/>
                <w:kern w:val="0"/>
                <w:szCs w:val="22"/>
                <w:lang w:val="en-US" w:eastAsia="en-US" w:bidi="ar-SA"/>
              </w:rPr>
              <w:t>Pending approval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Production remains unchanged pending credentials and final acceptance.</w:t>
            </w:r>
          </w:p>
        </w:tc>
      </w:tr>
    </w:tbl>
    <w:p>
      <w:pPr>
        <w:pStyle w:val="Heading1"/>
        <w:rPr/>
      </w:pPr>
      <w:r>
        <w:rPr/>
        <w:t>3. Work Completed</w:t>
      </w:r>
    </w:p>
    <w:p>
      <w:pPr>
        <w:pStyle w:val="ListBullet"/>
        <w:numPr>
          <w:ilvl w:val="0"/>
          <w:numId w:val="1"/>
        </w:numPr>
        <w:ind w:hanging="173" w:start="259"/>
        <w:rPr/>
      </w:pPr>
      <w:r>
        <w:rPr/>
        <w:t>Rebuilt Courses, Welding, Notice Board, Application, About, Impact, Foundation, Contact and Toolkit Blog templates.</w:t>
      </w:r>
    </w:p>
    <w:p>
      <w:pPr>
        <w:pStyle w:val="ListBullet"/>
        <w:numPr>
          <w:ilvl w:val="0"/>
          <w:numId w:val="1"/>
        </w:numPr>
        <w:ind w:hanging="173" w:start="259"/>
        <w:rPr/>
      </w:pPr>
      <w:r>
        <w:rPr/>
        <w:t>Restored all 18 team members with optimized local portraits and retained live-site organisational content.</w:t>
      </w:r>
    </w:p>
    <w:p>
      <w:pPr>
        <w:pStyle w:val="ListBullet"/>
        <w:numPr>
          <w:ilvl w:val="0"/>
          <w:numId w:val="1"/>
        </w:numPr>
        <w:ind w:hanging="173" w:start="259"/>
        <w:rPr/>
      </w:pPr>
      <w:r>
        <w:rPr/>
        <w:t>Expanded homepage depth with 2026 IIW, sector video, animated impact metrics, testimonials, stories and floating assistant.</w:t>
      </w:r>
    </w:p>
    <w:p>
      <w:pPr>
        <w:pStyle w:val="ListBullet"/>
        <w:numPr>
          <w:ilvl w:val="0"/>
          <w:numId w:val="1"/>
        </w:numPr>
        <w:ind w:hanging="173" w:start="259"/>
        <w:rPr/>
      </w:pPr>
      <w:r>
        <w:rPr/>
        <w:t>Implemented functional Notice Board search, filtering, sorting, result counts and grid/list views.</w:t>
      </w:r>
    </w:p>
    <w:p>
      <w:pPr>
        <w:pStyle w:val="ListBullet"/>
        <w:numPr>
          <w:ilvl w:val="0"/>
          <w:numId w:val="1"/>
        </w:numPr>
        <w:ind w:hanging="173" w:start="259"/>
        <w:rPr/>
      </w:pPr>
      <w:r>
        <w:rPr/>
        <w:t>Added curated titles, descriptions, canonicals, Open Graph metadata and structured-data hierarchy.</w:t>
      </w:r>
    </w:p>
    <w:p>
      <w:pPr>
        <w:pStyle w:val="ListBullet"/>
        <w:numPr>
          <w:ilvl w:val="0"/>
          <w:numId w:val="1"/>
        </w:numPr>
        <w:ind w:hanging="173" w:start="259"/>
        <w:rPr/>
      </w:pPr>
      <w:r>
        <w:rPr/>
        <w:t>Added first-party page, dwell, scroll, performance and interaction metrics with Toolkit Control in WordPress admin.</w:t>
      </w:r>
    </w:p>
    <w:p>
      <w:pPr>
        <w:pStyle w:val="ListBullet"/>
        <w:numPr>
          <w:ilvl w:val="0"/>
          <w:numId w:val="1"/>
        </w:numPr>
        <w:ind w:hanging="173" w:start="259"/>
        <w:rPr/>
      </w:pPr>
      <w:r>
        <w:rPr/>
        <w:t>Introduced redesign/catalog/pricing switches, persistent rollback storage and guarded FTPS deployment.</w:t>
      </w:r>
    </w:p>
    <w:p>
      <w:pPr>
        <w:pStyle w:val="ListBullet"/>
        <w:numPr>
          <w:ilvl w:val="0"/>
          <w:numId w:val="1"/>
        </w:numPr>
        <w:ind w:hanging="173" w:start="259"/>
        <w:rPr/>
      </w:pPr>
      <w:r>
        <w:rPr/>
        <w:t>Established main as the Git source-of-truth branch and removed the merged feature branch.</w:t>
      </w:r>
    </w:p>
    <w:p>
      <w:pPr>
        <w:pStyle w:val="Heading1"/>
        <w:rPr/>
      </w:pPr>
      <w:r>
        <w:rPr/>
        <w:t>4. Visual Evidence</w:t>
      </w:r>
    </w:p>
    <w:p>
      <w:pPr>
        <w:pStyle w:val="Normal"/>
        <w:rPr/>
      </w:pPr>
      <w:r>
        <w:rPr/>
        <w:t>The left image shows the production baseline and the right image shows the redesigned demo. Captures use a consistent desktop viewport and were collected on 16 July 2026.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00"/>
        <w:rPr/>
      </w:pPr>
      <w:r>
        <w:rPr/>
        <w:t>Visual comparison: Home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shd w:fill="006A68" w:val="clea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LEGACY PRODUCTION</w:t>
            </w:r>
          </w:p>
        </w:tc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shd w:fill="969E2A" w:val="clea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NEW DEMO</w:t>
            </w:r>
          </w:p>
        </w:tc>
      </w:tr>
      <w:tr>
        <w:trPr/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971800" cy="16713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671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i/>
                <w:color w:val="5C6662"/>
                <w:sz w:val="15"/>
              </w:rPr>
              <w:t>Baseline</w:t>
            </w:r>
          </w:p>
        </w:tc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971800" cy="189928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899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i/>
                <w:color w:val="5C6662"/>
                <w:sz w:val="15"/>
              </w:rPr>
              <w:t>Modernised</w:t>
            </w:r>
          </w:p>
        </w:tc>
      </w:tr>
    </w:tbl>
    <w:p>
      <w:pPr>
        <w:pStyle w:val="Heading2"/>
        <w:rPr/>
      </w:pPr>
      <w:r>
        <w:rPr/>
        <w:t>Visual comparison: About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shd w:fill="006A68" w:val="clea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LEGACY PRODUCTION</w:t>
            </w:r>
          </w:p>
        </w:tc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shd w:fill="969E2A" w:val="clea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NEW DEMO</w:t>
            </w:r>
          </w:p>
        </w:tc>
      </w:tr>
      <w:tr>
        <w:trPr/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971800" cy="189928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899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i/>
                <w:color w:val="5C6662"/>
                <w:sz w:val="15"/>
              </w:rPr>
              <w:t>Baseline</w:t>
            </w:r>
          </w:p>
        </w:tc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971800" cy="189928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899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i/>
                <w:color w:val="5C6662"/>
                <w:sz w:val="15"/>
              </w:rPr>
              <w:t>Modernised</w:t>
            </w:r>
          </w:p>
        </w:tc>
      </w:tr>
    </w:tbl>
    <w:p>
      <w:pPr>
        <w:pStyle w:val="Heading2"/>
        <w:rPr/>
      </w:pPr>
      <w:r>
        <w:rPr/>
        <w:t>Visual comparison: Courses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shd w:fill="006A68" w:val="clea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LEGACY PRODUCTION</w:t>
            </w:r>
          </w:p>
        </w:tc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shd w:fill="969E2A" w:val="clea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NEW DEMO</w:t>
            </w:r>
          </w:p>
        </w:tc>
      </w:tr>
      <w:tr>
        <w:trPr/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971800" cy="189928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899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i/>
                <w:color w:val="5C6662"/>
                <w:sz w:val="15"/>
              </w:rPr>
              <w:t>Baseline</w:t>
            </w:r>
          </w:p>
        </w:tc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971800" cy="189928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899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i/>
                <w:color w:val="5C6662"/>
                <w:sz w:val="15"/>
              </w:rPr>
              <w:t>Modernised</w:t>
            </w:r>
          </w:p>
        </w:tc>
      </w:tr>
    </w:tbl>
    <w:p>
      <w:pPr>
        <w:pStyle w:val="Heading2"/>
        <w:rPr/>
      </w:pPr>
      <w:r>
        <w:rPr/>
        <w:t>Visual comparison: Welding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shd w:fill="006A68" w:val="clea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LEGACY PRODUCTION</w:t>
            </w:r>
          </w:p>
        </w:tc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shd w:fill="969E2A" w:val="clea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NEW DEMO</w:t>
            </w:r>
          </w:p>
        </w:tc>
      </w:tr>
      <w:tr>
        <w:trPr/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971800" cy="189928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899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i/>
                <w:color w:val="5C6662"/>
                <w:sz w:val="15"/>
              </w:rPr>
              <w:t>Baseline</w:t>
            </w:r>
          </w:p>
        </w:tc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971800" cy="189928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899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i/>
                <w:color w:val="5C6662"/>
                <w:sz w:val="15"/>
              </w:rPr>
              <w:t>Modernised</w:t>
            </w:r>
          </w:p>
        </w:tc>
      </w:tr>
    </w:tbl>
    <w:p>
      <w:pPr>
        <w:pStyle w:val="Heading2"/>
        <w:rPr/>
      </w:pPr>
      <w:r>
        <w:rPr/>
        <w:t>Visual comparison: Notice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shd w:fill="006A68" w:val="clea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LEGACY PRODUCTION</w:t>
            </w:r>
          </w:p>
        </w:tc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shd w:fill="969E2A" w:val="clea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NEW DEMO</w:t>
            </w:r>
          </w:p>
        </w:tc>
      </w:tr>
      <w:tr>
        <w:trPr/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971800" cy="189928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899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i/>
                <w:color w:val="5C6662"/>
                <w:sz w:val="15"/>
              </w:rPr>
              <w:t>Baseline</w:t>
            </w:r>
          </w:p>
        </w:tc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971800" cy="189928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899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i/>
                <w:color w:val="5C6662"/>
                <w:sz w:val="15"/>
              </w:rPr>
              <w:t>Modernised</w:t>
            </w:r>
          </w:p>
        </w:tc>
      </w:tr>
    </w:tbl>
    <w:p>
      <w:pPr>
        <w:pStyle w:val="Heading2"/>
        <w:rPr/>
      </w:pPr>
      <w:r>
        <w:rPr/>
        <w:t>Visual comparison: Application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shd w:fill="006A68" w:val="clea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LEGACY PRODUCTION</w:t>
            </w:r>
          </w:p>
        </w:tc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shd w:fill="969E2A" w:val="clea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NEW DEMO</w:t>
            </w:r>
          </w:p>
        </w:tc>
      </w:tr>
      <w:tr>
        <w:trPr/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971800" cy="189928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899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i/>
                <w:color w:val="5C6662"/>
                <w:sz w:val="15"/>
              </w:rPr>
              <w:t>Baseline</w:t>
            </w:r>
          </w:p>
        </w:tc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971800" cy="189928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899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i/>
                <w:color w:val="5C6662"/>
                <w:sz w:val="15"/>
              </w:rPr>
              <w:t>Modernised</w:t>
            </w:r>
          </w:p>
        </w:tc>
      </w:tr>
    </w:tbl>
    <w:p>
      <w:pPr>
        <w:pStyle w:val="Heading2"/>
        <w:rPr/>
      </w:pPr>
      <w:r>
        <w:rPr/>
        <w:t>Visual comparison: Blog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shd w:fill="006A68" w:val="clea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LEGACY PRODUCTION</w:t>
            </w:r>
          </w:p>
        </w:tc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shd w:fill="969E2A" w:val="clea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NEW DEMO</w:t>
            </w:r>
          </w:p>
        </w:tc>
      </w:tr>
      <w:tr>
        <w:trPr/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971800" cy="189928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899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i/>
                <w:color w:val="5C6662"/>
                <w:sz w:val="15"/>
              </w:rPr>
              <w:t>Baseline</w:t>
            </w:r>
          </w:p>
        </w:tc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971800" cy="189928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899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i/>
                <w:color w:val="5C6662"/>
                <w:sz w:val="15"/>
              </w:rPr>
              <w:t>Modernised</w:t>
            </w:r>
          </w:p>
        </w:tc>
      </w:tr>
    </w:tbl>
    <w:p>
      <w:pPr>
        <w:pStyle w:val="Heading2"/>
        <w:rPr/>
      </w:pPr>
      <w:r>
        <w:rPr/>
        <w:t>Visual comparison: Contact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shd w:fill="006A68" w:val="clea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LEGACY PRODUCTION</w:t>
            </w:r>
          </w:p>
        </w:tc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  <w:shd w:fill="969E2A" w:val="clea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NEW DEMO</w:t>
            </w:r>
          </w:p>
        </w:tc>
      </w:tr>
      <w:tr>
        <w:trPr/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971800" cy="189928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899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i/>
                <w:color w:val="5C6662"/>
                <w:sz w:val="15"/>
              </w:rPr>
              <w:t>Baseline</w:t>
            </w:r>
          </w:p>
        </w:tc>
        <w:tc>
          <w:tcPr>
            <w:tcW w:w="5112" w:type="dxa"/>
            <w:tcBorders>
              <w:top w:val="single" w:sz="6" w:space="0" w:color="D9DED6"/>
              <w:start w:val="single" w:sz="6" w:space="0" w:color="D9DED6"/>
              <w:bottom w:val="single" w:sz="6" w:space="0" w:color="D9DED6"/>
              <w:end w:val="single" w:sz="6" w:space="0" w:color="D9DED6"/>
            </w:tcBorders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971800" cy="189928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899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00"/>
              <w:jc w:val="center"/>
              <w:rPr/>
            </w:pPr>
            <w:r>
              <w:rPr>
                <w:i/>
                <w:color w:val="5C6662"/>
                <w:sz w:val="15"/>
              </w:rPr>
              <w:t>Modernised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r>
        <w:rPr/>
        <w:t>5. SEO Evidence</w:t>
      </w:r>
    </w:p>
    <w:p>
      <w:pPr>
        <w:pStyle w:val="Normal"/>
        <w:rPr/>
      </w:pPr>
      <w:r>
        <w:rPr/>
        <w:t>The following panels reproduce public metadata captured from both environments. Demo canonicals intentionally resolve to the main domain to avoid indexing the staging host.</w:t>
      </w:r>
    </w:p>
    <w:p>
      <w:pPr>
        <w:pStyle w:val="Heading2"/>
        <w:rPr/>
      </w:pPr>
      <w:r>
        <w:rPr/>
        <w:t>SEO comparison: Home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80760" cy="36487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648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C6662"/>
          <w:sz w:val="15"/>
        </w:rPr>
        <w:t>Live metadata capture: production baseline compared with the demo implementation.</w:t>
      </w:r>
    </w:p>
    <w:p>
      <w:pPr>
        <w:pStyle w:val="Heading2"/>
        <w:rPr/>
      </w:pPr>
      <w:r>
        <w:rPr/>
        <w:t>SEO comparison: About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80760" cy="36487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648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C6662"/>
          <w:sz w:val="15"/>
        </w:rPr>
        <w:t>Live metadata capture: production baseline compared with the demo implementation.</w:t>
      </w:r>
    </w:p>
    <w:p>
      <w:pPr>
        <w:pStyle w:val="Heading2"/>
        <w:rPr/>
      </w:pPr>
      <w:r>
        <w:rPr/>
        <w:t>SEO comparison: Courses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80760" cy="36487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648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C6662"/>
          <w:sz w:val="15"/>
        </w:rPr>
        <w:t>Live metadata capture: production baseline compared with the demo implementation.</w:t>
      </w:r>
    </w:p>
    <w:p>
      <w:pPr>
        <w:pStyle w:val="Heading2"/>
        <w:rPr/>
      </w:pPr>
      <w:r>
        <w:rPr/>
        <w:t>SEO comparison: Welding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80760" cy="36487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648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C6662"/>
          <w:sz w:val="15"/>
        </w:rPr>
        <w:t>Live metadata capture: production baseline compared with the demo implementation.</w:t>
      </w:r>
    </w:p>
    <w:p>
      <w:pPr>
        <w:pStyle w:val="Heading2"/>
        <w:rPr/>
      </w:pPr>
      <w:r>
        <w:rPr/>
        <w:t>SEO comparison: Notice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80760" cy="364871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648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C6662"/>
          <w:sz w:val="15"/>
        </w:rPr>
        <w:t>Live metadata capture: production baseline compared with the demo implementation.</w:t>
      </w:r>
    </w:p>
    <w:p>
      <w:pPr>
        <w:pStyle w:val="Heading2"/>
        <w:rPr/>
      </w:pPr>
      <w:r>
        <w:rPr/>
        <w:t>SEO comparison: Application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80760" cy="364871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648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C6662"/>
          <w:sz w:val="15"/>
        </w:rPr>
        <w:t>Live metadata capture: production baseline compared with the demo implementation.</w:t>
      </w:r>
    </w:p>
    <w:p>
      <w:pPr>
        <w:pStyle w:val="Heading2"/>
        <w:rPr/>
      </w:pPr>
      <w:r>
        <w:rPr/>
        <w:t>SEO comparison: Blog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80760" cy="36487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648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C6662"/>
          <w:sz w:val="15"/>
        </w:rPr>
        <w:t>Live metadata capture: production baseline compared with the demo implementation.</w:t>
      </w:r>
    </w:p>
    <w:p>
      <w:pPr>
        <w:pStyle w:val="Heading2"/>
        <w:rPr/>
      </w:pPr>
      <w:r>
        <w:rPr/>
        <w:t>SEO comparison: Contact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80760" cy="36487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648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C6662"/>
          <w:sz w:val="15"/>
        </w:rPr>
        <w:t>Live metadata capture: production baseline compared with the demo implementation.</w:t>
      </w:r>
    </w:p>
    <w:p>
      <w:pPr>
        <w:pStyle w:val="Heading1"/>
        <w:rPr/>
      </w:pPr>
      <w:r>
        <w:rPr/>
        <w:t>6. Risks and Controls</w:t>
      </w:r>
    </w:p>
    <w:p>
      <w:pPr>
        <w:pStyle w:val="ListBullet"/>
        <w:numPr>
          <w:ilvl w:val="0"/>
          <w:numId w:val="1"/>
        </w:numPr>
        <w:ind w:hanging="173" w:start="259"/>
        <w:rPr/>
      </w:pPr>
      <w:r>
        <w:rPr/>
        <w:t>Main-domain activation must preserve 39 current page routes, approximately 150 post URLs, two team systems and account/LMS workflows.</w:t>
      </w:r>
    </w:p>
    <w:p>
      <w:pPr>
        <w:pStyle w:val="ListBullet"/>
        <w:numPr>
          <w:ilvl w:val="0"/>
          <w:numId w:val="1"/>
        </w:numPr>
        <w:ind w:hanging="173" w:start="259"/>
        <w:rPr/>
      </w:pPr>
      <w:r>
        <w:rPr/>
        <w:t>The Mzizi form adapter requires an approved field contract and non-production submission testing before implementation.</w:t>
      </w:r>
    </w:p>
    <w:p>
      <w:pPr>
        <w:pStyle w:val="ListBullet"/>
        <w:numPr>
          <w:ilvl w:val="0"/>
          <w:numId w:val="1"/>
        </w:numPr>
        <w:ind w:hanging="173" w:start="259"/>
        <w:rPr/>
      </w:pPr>
      <w:r>
        <w:rPr/>
        <w:t>September course pricing remains disabled until written admissions approval and the effective date.</w:t>
      </w:r>
    </w:p>
    <w:p>
      <w:pPr>
        <w:pStyle w:val="Heading1"/>
        <w:rPr/>
      </w:pPr>
      <w:r>
        <w:rPr/>
        <w:t>7. Next-Week Priorities</w:t>
      </w:r>
    </w:p>
    <w:p>
      <w:pPr>
        <w:pStyle w:val="ListBullet"/>
        <w:numPr>
          <w:ilvl w:val="0"/>
          <w:numId w:val="1"/>
        </w:numPr>
        <w:ind w:hanging="173" w:start="259"/>
        <w:rPr/>
      </w:pPr>
      <w:r>
        <w:rPr/>
        <w:t>Complete stakeholder demo acceptance.</w:t>
      </w:r>
    </w:p>
    <w:p>
      <w:pPr>
        <w:pStyle w:val="ListBullet"/>
        <w:numPr>
          <w:ilvl w:val="0"/>
          <w:numId w:val="1"/>
        </w:numPr>
        <w:ind w:hanging="173" w:start="259"/>
        <w:rPr/>
      </w:pPr>
      <w:r>
        <w:rPr/>
        <w:t>Obtain production file/database access and take persistent backups.</w:t>
      </w:r>
    </w:p>
    <w:p>
      <w:pPr>
        <w:pStyle w:val="ListBullet"/>
        <w:numPr>
          <w:ilvl w:val="0"/>
          <w:numId w:val="1"/>
        </w:numPr>
        <w:ind w:hanging="173" w:start="259"/>
        <w:rPr/>
      </w:pPr>
      <w:r>
        <w:rPr/>
        <w:t>Sync the child theme with all switches off, activate legacy-compatible mode, verify routes, then enable the redesign under rollback control.</w:t>
      </w:r>
    </w:p>
    <w:p>
      <w:pPr>
        <w:pStyle w:val="Heading1"/>
        <w:rPr/>
      </w:pPr>
      <w:r>
        <w:rPr/>
        <w:t>8. Verification Record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fill="006A68" w:val="clea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Milestone</w:t>
            </w:r>
          </w:p>
        </w:tc>
        <w:tc>
          <w:tcPr>
            <w:tcW w:w="3408" w:type="dxa"/>
            <w:tcBorders/>
            <w:shd w:fill="006A68" w:val="clea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3408" w:type="dxa"/>
            <w:tcBorders/>
            <w:shd w:fill="006A68" w:val="clea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Evidence / outcome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Source chronology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969E2A"/>
                <w:kern w:val="0"/>
                <w:szCs w:val="22"/>
                <w:lang w:val="en-US" w:eastAsia="en-US" w:bidi="ar-SA"/>
              </w:rPr>
              <w:t>Complete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June crawl/prototype records, Git history and project progress log reconciled.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Visual evidence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969E2A"/>
                <w:kern w:val="0"/>
                <w:szCs w:val="22"/>
                <w:lang w:val="en-US" w:eastAsia="en-US" w:bidi="ar-SA"/>
              </w:rPr>
              <w:t>Complete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Production and demo page captures embedded and labelled.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Document quality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969E2A"/>
                <w:kern w:val="0"/>
                <w:szCs w:val="22"/>
                <w:lang w:val="en-US" w:eastAsia="en-US" w:bidi="ar-SA"/>
              </w:rPr>
              <w:t>Complete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before="0" w:after="10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Toolkit logo, weekly dates, version control and consistent report format applied.</w:t>
            </w:r>
          </w:p>
        </w:tc>
      </w:tr>
    </w:tbl>
    <w:sectPr>
      <w:headerReference w:type="even" r:id="rId27"/>
      <w:headerReference w:type="default" r:id="rId28"/>
      <w:headerReference w:type="first" r:id="rId29"/>
      <w:footerReference w:type="even" r:id="rId30"/>
      <w:footerReference w:type="default" r:id="rId31"/>
      <w:footerReference w:type="first" r:id="rId32"/>
      <w:type w:val="nextPage"/>
      <w:pgSz w:w="12240" w:h="15840"/>
      <w:pgMar w:left="1008" w:right="1008" w:gutter="0" w:header="720" w:top="893" w:footer="720" w:bottom="8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C6662"/>
        <w:sz w:val="15"/>
      </w:rPr>
      <w:t xml:space="preserve">Toolkit Africa | 13-16 July 2026 | Confidential project record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C6662"/>
        <w:sz w:val="15"/>
      </w:rPr>
      <w:t xml:space="preserve">Toolkit Africa | 13-16 July 2026 | Confidential project record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W w:w="1008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7056"/>
      <w:gridCol w:w="3024"/>
    </w:tblGrid>
    <w:tr>
      <w:trPr/>
      <w:tc>
        <w:tcPr>
          <w:tcW w:w="7056" w:type="dxa"/>
          <w:tcBorders/>
        </w:tcPr>
        <w:p>
          <w:pPr>
            <w:pStyle w:val="Normal"/>
            <w:widowControl/>
            <w:bidi w:val="0"/>
            <w:spacing w:lineRule="auto" w:line="259" w:before="0" w:after="100"/>
            <w:jc w:val="start"/>
            <w:rPr/>
          </w:pPr>
          <w:r>
            <w:rPr>
              <w:b/>
              <w:color w:val="006A68"/>
              <w:sz w:val="16"/>
            </w:rPr>
            <w:t>TOOLKIT AFRICA  /  DIGITAL MODERNISATION</w:t>
          </w:r>
        </w:p>
      </w:tc>
      <w:tc>
        <w:tcPr>
          <w:tcW w:w="3024" w:type="dxa"/>
          <w:tcBorders/>
        </w:tcPr>
        <w:p>
          <w:pPr>
            <w:pStyle w:val="Normal"/>
            <w:spacing w:before="0" w:after="100"/>
            <w:jc w:val="end"/>
            <w:rPr/>
          </w:pPr>
          <w:r>
            <w:rPr>
              <w:b/>
              <w:color w:val="FF6600"/>
              <w:sz w:val="16"/>
            </w:rPr>
            <w:t>WEEKLY REPORT 07</w:t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W w:w="1008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7056"/>
      <w:gridCol w:w="3024"/>
    </w:tblGrid>
    <w:tr>
      <w:trPr/>
      <w:tc>
        <w:tcPr>
          <w:tcW w:w="7056" w:type="dxa"/>
          <w:tcBorders/>
        </w:tcPr>
        <w:p>
          <w:pPr>
            <w:pStyle w:val="Normal"/>
            <w:widowControl/>
            <w:bidi w:val="0"/>
            <w:spacing w:lineRule="auto" w:line="259" w:before="0" w:after="100"/>
            <w:jc w:val="start"/>
            <w:rPr/>
          </w:pPr>
          <w:r>
            <w:rPr>
              <w:b/>
              <w:color w:val="006A68"/>
              <w:sz w:val="16"/>
            </w:rPr>
            <w:t>TOOLKIT AFRICA  /  DIGITAL MODERNISATION</w:t>
          </w:r>
        </w:p>
      </w:tc>
      <w:tc>
        <w:tcPr>
          <w:tcW w:w="3024" w:type="dxa"/>
          <w:tcBorders/>
        </w:tcPr>
        <w:p>
          <w:pPr>
            <w:pStyle w:val="Normal"/>
            <w:spacing w:before="0" w:after="100"/>
            <w:jc w:val="end"/>
            <w:rPr/>
          </w:pPr>
          <w:r>
            <w:rPr>
              <w:b/>
              <w:color w:val="FF6600"/>
              <w:sz w:val="16"/>
            </w:rPr>
            <w:t>WEEKLY REPORT 07</w:t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00"/>
      <w:jc w:val="start"/>
    </w:pPr>
    <w:rPr>
      <w:rFonts w:ascii="Aptos" w:hAnsi="Aptos" w:eastAsia="ＭＳ 明朝" w:cs=""/>
      <w:color w:val="262B2A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6A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0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969E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0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FF66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200" w:after="1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06A68"/>
      <w:spacing w:val="5"/>
      <w:kern w:val="2"/>
      <w:sz w:val="5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header" Target="header1.xml"/><Relationship Id="rId28" Type="http://schemas.openxmlformats.org/officeDocument/2006/relationships/header" Target="header2.xml"/><Relationship Id="rId29" Type="http://schemas.openxmlformats.org/officeDocument/2006/relationships/header" Target="header3.xml"/><Relationship Id="rId30" Type="http://schemas.openxmlformats.org/officeDocument/2006/relationships/footer" Target="footer1.xml"/><Relationship Id="rId31" Type="http://schemas.openxmlformats.org/officeDocument/2006/relationships/footer" Target="footer2.xml"/><Relationship Id="rId32" Type="http://schemas.openxmlformats.org/officeDocument/2006/relationships/footer" Target="footer3.xml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<Relationship Id="rId3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LibreOffice/26.2.4.2$Linux_X86_64 LibreOffice_project/620$Build-2</Application>
  <AppVersion>15.0000</AppVersion>
  <Pages>11</Pages>
  <Words>660</Words>
  <Characters>4322</Characters>
  <CharactersWithSpaces>4847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2026-07-16T00:00:00Z</dcterms:created>
  <dc:creator>Toolkit Africa Digital Modernisation Programme</dc:creator>
  <dc:description>generated by python-docx</dc:description>
  <cp:keywords>Toolkit Africa WordPress redesign milestone SEO</cp:keywords>
  <dc:language>en-US</dc:language>
  <cp:lastModifiedBy/>
  <dcterms:modified xsi:type="dcterms:W3CDTF">2026-07-16T13:50:19Z</dcterms:modified>
  <cp:revision>2</cp:revision>
  <dc:subject>Toolkit Africa website modernisation weekly milestone</dc:subject>
  <dc:title>Major Pages, SEO, Analytics and Demo Release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