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3A"/>
          <w:sz w:val="20"/>
        </w:rPr>
        <w:t>TOOLKIT AFRICA</w:t>
      </w:r>
    </w:p>
    <w:p>
      <w:pPr>
        <w:pStyle w:val="Title"/>
        <w:jc w:val="center"/>
      </w:pPr>
      <w:r>
        <w:t>Smart Lecturer 3D Prototype</w:t>
      </w:r>
    </w:p>
    <w:p>
      <w:pPr>
        <w:jc w:val="center"/>
      </w:pPr>
      <w:r>
        <w:rPr>
          <w:color w:val="5F6C69"/>
        </w:rPr>
        <w:t>WMR-14  |  REPORTING PERIOD: 27–31 JULY 2026</w:t>
      </w:r>
    </w:p>
    <w:p>
      <w:r>
        <w:t>STATUS: MESHY 3D RUNTIME INTEGRATED AND AUTOMATION-VERIFIED; HUMAN REVIEW PENDING</w:t>
      </w:r>
    </w:p>
    <w:p>
      <w:pPr>
        <w:pStyle w:val="Heading1"/>
      </w:pPr>
      <w:r>
        <w:t>Executive milestone</w:t>
      </w:r>
    </w:p>
    <w:p>
      <w:r>
        <w:t>Deliver a locally hosted Smart AI Lecturer with a credible human 3D appearance, stable lighting, autonomous head movement, blinking, audible neural speech and timed mouth movement, while retaining text-first teaching and accessibility fallbacks.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F3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Toolkit Weekly Milestone Report 14</w:t>
            </w:r>
          </w:p>
        </w:tc>
      </w:tr>
      <w:tr>
        <w:tc>
          <w:tcPr>
            <w:tcW w:type="dxa" w:w="5112"/>
          </w:tcPr>
          <w:p>
            <w:r>
              <w:t>Prepared</w:t>
            </w:r>
          </w:p>
        </w:tc>
        <w:tc>
          <w:tcPr>
            <w:tcW w:type="dxa" w:w="5112"/>
          </w:tcPr>
          <w:p>
            <w:r>
              <w:t>29 July 2026</w:t>
            </w:r>
          </w:p>
        </w:tc>
      </w:tr>
      <w:tr>
        <w:tc>
          <w:tcPr>
            <w:tcW w:type="dxa" w:w="5112"/>
          </w:tcPr>
          <w:p>
            <w:r>
              <w:t>Workstream</w:t>
            </w:r>
          </w:p>
        </w:tc>
        <w:tc>
          <w:tcPr>
            <w:tcW w:type="dxa" w:w="5112"/>
          </w:tcPr>
          <w:p>
            <w:r>
              <w:t>Smart Lecturer / Virtual Campus</w:t>
            </w:r>
          </w:p>
        </w:tc>
      </w:tr>
      <w:tr>
        <w:tc>
          <w:tcPr>
            <w:tcW w:type="dxa" w:w="5112"/>
          </w:tcPr>
          <w:p>
            <w:r>
              <w:t>Systems</w:t>
            </w:r>
          </w:p>
        </w:tc>
        <w:tc>
          <w:tcPr>
            <w:tcW w:type="dxa" w:w="5112"/>
          </w:tcPr>
          <w:p>
            <w:r>
              <w:t>Vite, Three.js, Blender, Meshy 5, Kokoro, Rhubarb</w:t>
            </w:r>
          </w:p>
        </w:tc>
      </w:tr>
      <w:tr>
        <w:tc>
          <w:tcPr>
            <w:tcW w:type="dxa" w:w="5112"/>
          </w:tcPr>
          <w:p>
            <w:r>
              <w:t>Data classification</w:t>
            </w:r>
          </w:p>
        </w:tc>
        <w:tc>
          <w:tcPr>
            <w:tcW w:type="dxa" w:w="5112"/>
          </w:tcPr>
          <w:p>
            <w:r>
              <w:t>Internal; no learner PII, credentials or provider secrets</w:t>
            </w:r>
          </w:p>
        </w:tc>
      </w:tr>
      <w:tr>
        <w:tc>
          <w:tcPr>
            <w:tcW w:type="dxa" w:w="5112"/>
          </w:tcPr>
          <w:p>
            <w:r>
              <w:t>Repository checkpoint</w:t>
            </w:r>
          </w:p>
        </w:tc>
        <w:tc>
          <w:tcPr>
            <w:tcW w:type="dxa" w:w="5112"/>
          </w:tcPr>
          <w:p>
            <w:r>
              <w:t>623784c — Meshy lecturer candidate</w:t>
            </w:r>
          </w:p>
        </w:tc>
      </w:tr>
    </w:tbl>
    <w:p>
      <w:pPr>
        <w:pStyle w:val="Heading1"/>
      </w:pPr>
      <w:r>
        <w:t>Milestone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Evidence / acceptance</w:t>
            </w:r>
          </w:p>
        </w:tc>
      </w:tr>
      <w:tr>
        <w:tc>
          <w:tcPr>
            <w:tcW w:type="dxa" w:w="3408"/>
          </w:tcPr>
          <w:p>
            <w:r>
              <w:t>Teaching interface</w:t>
            </w:r>
          </w:p>
        </w:tc>
        <w:tc>
          <w:tcPr>
            <w:tcW w:type="dxa" w:w="3408"/>
          </w:tcPr>
          <w:p>
            <w:r>
              <w:t>Implemented</w:t>
            </w:r>
          </w:p>
        </w:tc>
        <w:tc>
          <w:tcPr>
            <w:tcW w:type="dxa" w:w="3408"/>
          </w:tcPr>
          <w:p>
            <w:r>
              <w:t>Responsive text-first lecturer and controlled lesson questions.</w:t>
            </w:r>
          </w:p>
        </w:tc>
      </w:tr>
      <w:tr>
        <w:tc>
          <w:tcPr>
            <w:tcW w:type="dxa" w:w="3408"/>
          </w:tcPr>
          <w:p>
            <w:r>
              <w:t>Voice and timing</w:t>
            </w:r>
          </w:p>
        </w:tc>
        <w:tc>
          <w:tcPr>
            <w:tcW w:type="dxa" w:w="3408"/>
          </w:tcPr>
          <w:p>
            <w:r>
              <w:t>Implemented prototype</w:t>
            </w:r>
          </w:p>
        </w:tc>
        <w:tc>
          <w:tcPr>
            <w:tcW w:type="dxa" w:w="3408"/>
          </w:tcPr>
          <w:p>
            <w:r>
              <w:t>Local Kokoro audio and Rhubarb cue files; browser wiring exists.</w:t>
            </w:r>
          </w:p>
        </w:tc>
      </w:tr>
      <w:tr>
        <w:tc>
          <w:tcPr>
            <w:tcW w:type="dxa" w:w="3408"/>
          </w:tcPr>
          <w:p>
            <w:r>
              <w:t>3D controller</w:t>
            </w:r>
          </w:p>
        </w:tc>
        <w:tc>
          <w:tcPr>
            <w:tcW w:type="dxa" w:w="3408"/>
          </w:tcPr>
          <w:p>
            <w:r>
              <w:t>Implemented prototype</w:t>
            </w:r>
          </w:p>
        </w:tc>
        <w:tc>
          <w:tcPr>
            <w:tcW w:type="dxa" w:w="3408"/>
          </w:tcPr>
          <w:p>
            <w:r>
              <w:t>Fixed lights, head yaw/pitch, pointer attention and blink controller.</w:t>
            </w:r>
          </w:p>
        </w:tc>
      </w:tr>
      <w:tr>
        <w:tc>
          <w:tcPr>
            <w:tcW w:type="dxa" w:w="3408"/>
          </w:tcPr>
          <w:p>
            <w:r>
              <w:t>Meshy character</w:t>
            </w:r>
          </w:p>
        </w:tc>
        <w:tc>
          <w:tcPr>
            <w:tcW w:type="dxa" w:w="3408"/>
          </w:tcPr>
          <w:p>
            <w:r>
              <w:t>Acquired and validated</w:t>
            </w:r>
          </w:p>
        </w:tc>
        <w:tc>
          <w:tcPr>
            <w:tcW w:type="dxa" w:w="3408"/>
          </w:tcPr>
          <w:p>
            <w:r>
              <w:t>8.2 MB textured GLB; 63,094 triangles; 34,360 vertices.</w:t>
            </w:r>
          </w:p>
        </w:tc>
      </w:tr>
      <w:tr>
        <w:tc>
          <w:tcPr>
            <w:tcW w:type="dxa" w:w="3408"/>
          </w:tcPr>
          <w:p>
            <w:r>
              <w:t>Facial animation rig</w:t>
            </w:r>
          </w:p>
        </w:tc>
        <w:tc>
          <w:tcPr>
            <w:tcW w:type="dxa" w:w="3408"/>
          </w:tcPr>
          <w:p>
            <w:r>
              <w:t>Implemented locally</w:t>
            </w:r>
          </w:p>
        </w:tc>
        <w:tc>
          <w:tcPr>
            <w:tcW w:type="dxa" w:w="3408"/>
          </w:tcPr>
          <w:p>
            <w:r>
              <w:t>Smooth head bone, eight speech shapes and independent blink targets.</w:t>
            </w:r>
          </w:p>
        </w:tc>
      </w:tr>
      <w:tr>
        <w:tc>
          <w:tcPr>
            <w:tcW w:type="dxa" w:w="3408"/>
          </w:tcPr>
          <w:p>
            <w:r>
              <w:t>Runtime integration</w:t>
            </w:r>
          </w:p>
        </w:tc>
        <w:tc>
          <w:tcPr>
            <w:tcW w:type="dxa" w:w="3408"/>
          </w:tcPr>
          <w:p>
            <w:r>
              <w:t>Implemented</w:t>
            </w:r>
          </w:p>
        </w:tc>
        <w:tc>
          <w:tcPr>
            <w:tcW w:type="dxa" w:w="3408"/>
          </w:tcPr>
          <w:p>
            <w:r>
              <w:t>Public runtime serves the rigged 8.1 MB Meshy GLB.</w:t>
            </w:r>
          </w:p>
        </w:tc>
      </w:tr>
      <w:tr>
        <w:tc>
          <w:tcPr>
            <w:tcW w:type="dxa" w:w="3408"/>
          </w:tcPr>
          <w:p>
            <w:r>
              <w:t>Automated visual acceptance</w:t>
            </w:r>
          </w:p>
        </w:tc>
        <w:tc>
          <w:tcPr>
            <w:tcW w:type="dxa" w:w="3408"/>
          </w:tcPr>
          <w:p>
            <w:r>
              <w:t>Passed</w:t>
            </w:r>
          </w:p>
        </w:tc>
        <w:tc>
          <w:tcPr>
            <w:tcW w:type="dxa" w:w="3408"/>
          </w:tcPr>
          <w:p>
            <w:r>
              <w:t>Brave desktop/tablet/mobile matrix and numerical runtime assertions.</w:t>
            </w:r>
          </w:p>
        </w:tc>
      </w:tr>
      <w:tr>
        <w:tc>
          <w:tcPr>
            <w:tcW w:type="dxa" w:w="3408"/>
          </w:tcPr>
          <w:p>
            <w:r>
              <w:t>Human visual acceptance</w:t>
            </w:r>
          </w:p>
        </w:tc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Professional/human-likeness review remains required.</w:t>
            </w:r>
          </w:p>
        </w:tc>
      </w:tr>
    </w:tbl>
    <w:p>
      <w:pPr>
        <w:pStyle w:val="Heading1"/>
      </w:pPr>
      <w:r>
        <w:t>Completed work</w:t>
      </w:r>
    </w:p>
    <w:p>
      <w:pPr>
        <w:pStyle w:val="ListBullet"/>
      </w:pPr>
      <w:r>
        <w:t>Reviewed the research and animation/voice guidance as paired implementation constraints.</w:t>
      </w:r>
    </w:p>
    <w:p>
      <w:pPr>
        <w:pStyle w:val="ListBullet"/>
      </w:pPr>
      <w:r>
        <w:t>Built a reproducible MPFB/Blender diagnostic model and proved neutral, speaking and head-turn poses.</w:t>
      </w:r>
    </w:p>
    <w:p>
      <w:pPr>
        <w:pStyle w:val="ListBullet"/>
      </w:pPr>
      <w:r>
        <w:t>Implemented a Three.js controller with fixed lighting and autonomous head movement.</w:t>
      </w:r>
    </w:p>
    <w:p>
      <w:pPr>
        <w:pStyle w:val="ListBullet"/>
      </w:pPr>
      <w:r>
        <w:t>Generated local Kokoro speech and Rhubarb timing cues for controlled lesson answers.</w:t>
      </w:r>
    </w:p>
    <w:p>
      <w:pPr>
        <w:pStyle w:val="ListBullet"/>
      </w:pPr>
      <w:r>
        <w:t>Created a fictional A-pose lecturer reference and generated a cohesive Meshy 5 Image-to-3D model.</w:t>
      </w:r>
    </w:p>
    <w:p>
      <w:pPr>
        <w:pStyle w:val="ListBullet"/>
      </w:pPr>
      <w:r>
        <w:t>Textured and downloaded the Meshy 5 GLB under the workspace-displayed CC BY 4.0 licence.</w:t>
      </w:r>
    </w:p>
    <w:p>
      <w:pPr>
        <w:pStyle w:val="ListBullet"/>
      </w:pPr>
      <w:r>
        <w:t>Validated the Meshy file locally in Blender: one mesh, one material, no armature and no shape keys.</w:t>
      </w:r>
    </w:p>
    <w:p>
      <w:pPr>
        <w:pStyle w:val="ListBullet"/>
      </w:pPr>
      <w:r>
        <w:t>Recorded source provenance, screenshots, decisions, progress and Git checkpoints.</w:t>
      </w:r>
    </w:p>
    <w:p>
      <w:pPr>
        <w:pStyle w:val="Heading1"/>
      </w:pPr>
      <w:r>
        <w:t>Validation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408"/>
          </w:tcPr>
          <w:p>
            <w:r>
              <w:t>Production Vite build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Application source compiles; bundle-size warning remains.</w:t>
            </w:r>
          </w:p>
        </w:tc>
      </w:tr>
      <w:tr>
        <w:tc>
          <w:tcPr>
            <w:tcW w:type="dxa" w:w="3408"/>
          </w:tcPr>
          <w:p>
            <w:r>
              <w:t>Meshy GLB import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Blender imports the cohesive textured mesh successfully.</w:t>
            </w:r>
          </w:p>
        </w:tc>
      </w:tr>
      <w:tr>
        <w:tc>
          <w:tcPr>
            <w:tcW w:type="dxa" w:w="3408"/>
          </w:tcPr>
          <w:p>
            <w:r>
              <w:t>Runtime asset comparison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Public GLB is the locally rigged derivative of the Meshy source.</w:t>
            </w:r>
          </w:p>
        </w:tc>
      </w:tr>
      <w:tr>
        <w:tc>
          <w:tcPr>
            <w:tcW w:type="dxa" w:w="3408"/>
          </w:tcPr>
          <w:p>
            <w:r>
              <w:t>Local review server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Vite serves application and GLB with HTTP 200 on port 5173.</w:t>
            </w:r>
          </w:p>
        </w:tc>
      </w:tr>
      <w:tr>
        <w:tc>
          <w:tcPr>
            <w:tcW w:type="dxa" w:w="3408"/>
          </w:tcPr>
          <w:p>
            <w:r>
              <w:t>Meshy end-to-end browser proof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Head bone, ten morph targets and non-zero live visemes verified.</w:t>
            </w:r>
          </w:p>
        </w:tc>
      </w:tr>
    </w:tbl>
    <w:p>
      <w:pPr>
        <w:pStyle w:val="Heading1"/>
      </w:pPr>
      <w:r>
        <w:t>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08"/>
          </w:tcPr>
          <w:p>
            <w:r>
              <w:t>Static Meshy source</w:t>
            </w:r>
          </w:p>
        </w:tc>
        <w:tc>
          <w:tcPr>
            <w:tcW w:type="dxa" w:w="3408"/>
          </w:tcPr>
          <w:p>
            <w:r>
              <w:t>No head, blink or speech motion</w:t>
            </w:r>
          </w:p>
        </w:tc>
        <w:tc>
          <w:tcPr>
            <w:tcW w:type="dxa" w:w="3408"/>
          </w:tcPr>
          <w:p>
            <w:r>
              <w:t>Create local armature/shape keys before runtime replacement.</w:t>
            </w:r>
          </w:p>
        </w:tc>
      </w:tr>
      <w:tr>
        <w:tc>
          <w:tcPr>
            <w:tcW w:type="dxa" w:w="3408"/>
          </w:tcPr>
          <w:p>
            <w:r>
              <w:t>Single combined mesh</w:t>
            </w:r>
          </w:p>
        </w:tc>
        <w:tc>
          <w:tcPr>
            <w:tcW w:type="dxa" w:w="3408"/>
          </w:tcPr>
          <w:p>
            <w:r>
              <w:t>Neck deformation or visible seams</w:t>
            </w:r>
          </w:p>
        </w:tc>
        <w:tc>
          <w:tcPr>
            <w:tcW w:type="dxa" w:w="3408"/>
          </w:tcPr>
          <w:p>
            <w:r>
              <w:t>Weight and test head/neck locally; reject destructive splitting.</w:t>
            </w:r>
          </w:p>
        </w:tc>
      </w:tr>
      <w:tr>
        <w:tc>
          <w:tcPr>
            <w:tcW w:type="dxa" w:w="3408"/>
          </w:tcPr>
          <w:p>
            <w:r>
              <w:t>63k triangle payload</w:t>
            </w:r>
          </w:p>
        </w:tc>
        <w:tc>
          <w:tcPr>
            <w:tcW w:type="dxa" w:w="3408"/>
          </w:tcPr>
          <w:p>
            <w:r>
              <w:t>Mobile GPU cost</w:t>
            </w:r>
          </w:p>
        </w:tc>
        <w:tc>
          <w:tcPr>
            <w:tcW w:type="dxa" w:w="3408"/>
          </w:tcPr>
          <w:p>
            <w:r>
              <w:t>Measure first, then decimate only with visual comparison.</w:t>
            </w:r>
          </w:p>
        </w:tc>
      </w:tr>
      <w:tr>
        <w:tc>
          <w:tcPr>
            <w:tcW w:type="dxa" w:w="3408"/>
          </w:tcPr>
          <w:p>
            <w:r>
              <w:t>Synthetic identity resemblance</w:t>
            </w:r>
          </w:p>
        </w:tc>
        <w:tc>
          <w:tcPr>
            <w:tcW w:type="dxa" w:w="3408"/>
          </w:tcPr>
          <w:p>
            <w:r>
              <w:t>Professional/identity concern</w:t>
            </w:r>
          </w:p>
        </w:tc>
        <w:tc>
          <w:tcPr>
            <w:tcW w:type="dxa" w:w="3408"/>
          </w:tcPr>
          <w:p>
            <w:r>
              <w:t>Three-person human-likeness and resemblance review.</w:t>
            </w:r>
          </w:p>
        </w:tc>
      </w:tr>
      <w:tr>
        <w:tc>
          <w:tcPr>
            <w:tcW w:type="dxa" w:w="3408"/>
          </w:tcPr>
          <w:p>
            <w:r>
              <w:t>CC BY obligations</w:t>
            </w:r>
          </w:p>
        </w:tc>
        <w:tc>
          <w:tcPr>
            <w:tcW w:type="dxa" w:w="3408"/>
          </w:tcPr>
          <w:p>
            <w:r>
              <w:t>Attribution failure</w:t>
            </w:r>
          </w:p>
        </w:tc>
        <w:tc>
          <w:tcPr>
            <w:tcW w:type="dxa" w:w="3408"/>
          </w:tcPr>
          <w:p>
            <w:r>
              <w:t>Retain provenance and include attribution in release documentation.</w:t>
            </w:r>
          </w:p>
        </w:tc>
      </w:tr>
      <w:tr>
        <w:tc>
          <w:tcPr>
            <w:tcW w:type="dxa" w:w="3408"/>
          </w:tcPr>
          <w:p>
            <w:r>
              <w:t>Premature completion claim</w:t>
            </w:r>
          </w:p>
        </w:tc>
        <w:tc>
          <w:tcPr>
            <w:tcW w:type="dxa" w:w="3408"/>
          </w:tcPr>
          <w:p>
            <w:r>
              <w:t>Incorrect reporting</w:t>
            </w:r>
          </w:p>
        </w:tc>
        <w:tc>
          <w:tcPr>
            <w:tcW w:type="dxa" w:w="3408"/>
          </w:tcPr>
          <w:p>
            <w:r>
              <w:t>Separate asset acquisition, integration and acceptance statuses.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Meshy lecturer is the actual runtime asset, verified by file identity and browser inspection.</w:t>
      </w:r>
    </w:p>
    <w:p>
      <w:pPr>
        <w:pStyle w:val="ListBullet"/>
      </w:pPr>
      <w:r>
        <w:t>Head yaw/pitch, blink and at least three distinct speech poses work without mesh tearing.</w:t>
      </w:r>
    </w:p>
    <w:p>
      <w:pPr>
        <w:pStyle w:val="ListBullet"/>
      </w:pPr>
      <w:r>
        <w:t>Audio is audible and timed mouth movement returns to neutral during silence.</w:t>
      </w:r>
    </w:p>
    <w:p>
      <w:pPr>
        <w:pStyle w:val="ListBullet"/>
      </w:pPr>
      <w:r>
        <w:t>Lighting remains constant through idle, listening, thinking and speaking states.</w:t>
      </w:r>
    </w:p>
    <w:p>
      <w:pPr>
        <w:pStyle w:val="ListBullet"/>
      </w:pPr>
      <w:r>
        <w:t>Desktop, tablet and mobile Brave screenshots pass visual review.</w:t>
      </w:r>
    </w:p>
    <w:p>
      <w:pPr>
        <w:pStyle w:val="ListBullet"/>
      </w:pPr>
      <w:r>
        <w:t>Production build, security audit, console/network checks and reduced-motion/text-only paths pass.</w:t>
      </w:r>
    </w:p>
    <w:p>
      <w:pPr>
        <w:pStyle w:val="ListBullet"/>
      </w:pPr>
      <w:r>
        <w:t>Evidence and provenance are updated without credentials, learner PII or unsupported claims.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C69"/>
        <w:sz w:val="14"/>
      </w:rPr>
      <w:t>WMR-14  |  Internal working report  |  No credentials or learner PII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