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987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8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Weekly Work Plan</w:t>
      </w:r>
    </w:p>
    <w:p>
      <w:pPr>
        <w:jc w:val="center"/>
      </w:pPr>
      <w:r>
        <w:rPr>
          <w:b/>
          <w:color w:val="FF6600"/>
        </w:rPr>
        <w:t>27-31 JULY 2026</w:t>
      </w:r>
    </w:p>
    <w:p>
      <w:pPr>
        <w:jc w:val="center"/>
      </w:pPr>
      <w:r>
        <w:t>Reception System  |  Website Form  |  Secure Data Relay  |  Demo  |  Production</w:t>
      </w:r>
    </w:p>
    <w:p>
      <w:pPr>
        <w:pStyle w:val="Heading1"/>
      </w:pPr>
      <w:r>
        <w:t>Purpose</w:t>
      </w:r>
    </w:p>
    <w:p>
      <w:r>
        <w:t>Move the locally verified website-to-reception workflow through a controlled hosting, demo and production-readiness process. The week prioritizes visitor-data protection, operational usability, recoverable deployment and evidence-based acceptance.</w:t>
      </w:r>
    </w:p>
    <w:p>
      <w:pPr>
        <w:pStyle w:val="Heading1"/>
      </w:pPr>
      <w:r>
        <w:t>Verified starting position</w:t>
      </w:r>
    </w:p>
    <w:p>
      <w:pPr>
        <w:pStyle w:val="ListBullet"/>
      </w:pPr>
      <w:r>
        <w:t>A branded WordPress reception form is implemented at the database-independent /reception/ route.</w:t>
      </w:r>
    </w:p>
    <w:p>
      <w:pPr>
        <w:pStyle w:val="ListBullet"/>
      </w:pPr>
      <w:r>
        <w:t>WordPress validates and rate-limits submissions, then relays them to Laravel using a timestamped HMAC signature and one-use nonce.</w:t>
      </w:r>
    </w:p>
    <w:p>
      <w:pPr>
        <w:pStyle w:val="ListBullet"/>
      </w:pPr>
      <w:r>
        <w:t>WordPress retains no second copy of visitor personal data; the reception application remains authoritative.</w:t>
      </w:r>
    </w:p>
    <w:p>
      <w:pPr>
        <w:pStyle w:val="ListBullet"/>
      </w:pPr>
      <w:r>
        <w:t>Website records enter Reception Control as source=website and status=follow_up with no physical check-in timestamp.</w:t>
      </w:r>
    </w:p>
    <w:p>
      <w:pPr>
        <w:pStyle w:val="ListBullet"/>
      </w:pPr>
      <w:r>
        <w:t>Reception metrics exclude website requests until a staff member records an actual arrival.</w:t>
      </w:r>
    </w:p>
    <w:p>
      <w:pPr>
        <w:pStyle w:val="ListBullet"/>
      </w:pPr>
      <w:r>
        <w:t>An automated local WordPress-to-Laravel request passed and labelled test data was removed; no local browser-review server remains running.</w:t>
      </w:r>
    </w:p>
    <w:p>
      <w:pPr>
        <w:pStyle w:val="ListBullet"/>
      </w:pPr>
      <w:r>
        <w:t>The Laravel suite passes 18 tests and 92 assertions; Pint, PHP syntax, JavaScript syntax and whitespace checks pass.</w:t>
      </w:r>
    </w:p>
    <w:p>
      <w:pPr>
        <w:pStyle w:val="ListBullet"/>
      </w:pPr>
      <w:r>
        <w:t>Independent demo/production roots now exist, but the partially deployed demo returns HTTP 500 until its private environment, database and runtime setup are completed.</w:t>
      </w:r>
    </w:p>
    <w:p>
      <w:pPr>
        <w:pStyle w:val="Heading1"/>
      </w:pPr>
      <w:r>
        <w:t>Daily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06A68"/>
            <w:vAlign w:val="center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556"/>
            <w:shd w:fill="006A68"/>
            <w:vAlign w:val="center"/>
          </w:tcPr>
          <w:p>
            <w:r>
              <w:rPr>
                <w:b/>
                <w:color w:val="FFFFFF"/>
              </w:rPr>
              <w:t>Primary work</w:t>
            </w:r>
          </w:p>
        </w:tc>
        <w:tc>
          <w:tcPr>
            <w:tcW w:type="dxa" w:w="2556"/>
            <w:shd w:fill="006A68"/>
            <w:vAlign w:val="center"/>
          </w:tcPr>
          <w:p>
            <w:r>
              <w:rPr>
                <w:b/>
                <w:color w:val="FFFFFF"/>
              </w:rPr>
              <w:t>Required output</w:t>
            </w:r>
          </w:p>
        </w:tc>
        <w:tc>
          <w:tcPr>
            <w:tcW w:type="dxa" w:w="2556"/>
            <w:shd w:fill="006A68"/>
            <w:vAlign w:val="center"/>
          </w:tcPr>
          <w:p>
            <w:r>
              <w:rPr>
                <w:b/>
                <w:color w:val="FFFFFF"/>
              </w:rPr>
              <w:t>Release gate</w:t>
            </w:r>
          </w:p>
        </w:tc>
      </w:tr>
      <w:tr>
        <w:tc>
          <w:tcPr>
            <w:tcW w:type="dxa" w:w="2556"/>
            <w:vAlign w:val="top"/>
          </w:tcPr>
          <w:p>
            <w:r>
              <w:t>Mon 27</w:t>
            </w:r>
          </w:p>
        </w:tc>
        <w:tc>
          <w:tcPr>
            <w:tcW w:type="dxa" w:w="2556"/>
            <w:vAlign w:val="top"/>
          </w:tcPr>
          <w:p>
            <w:r>
              <w:t>Consolidate the integration contract, local evidence, field mapping, privacy boundary, migration and rollback procedure.</w:t>
            </w:r>
          </w:p>
        </w:tc>
        <w:tc>
          <w:tcPr>
            <w:tcW w:type="dxa" w:w="2556"/>
            <w:vAlign w:val="top"/>
          </w:tcPr>
          <w:p>
            <w:r>
              <w:t>Approved technical report, changed-file inventory, passing test record and local database backup.</w:t>
            </w:r>
          </w:p>
        </w:tc>
        <w:tc>
          <w:tcPr>
            <w:tcW w:type="dxa" w:w="2556"/>
            <w:vAlign w:val="top"/>
          </w:tcPr>
          <w:p>
            <w:r>
              <w:t>No remote change; no secrets or PII in Git, reports or browser configuration.</w:t>
            </w:r>
          </w:p>
        </w:tc>
      </w:tr>
      <w:tr>
        <w:tc>
          <w:tcPr>
            <w:tcW w:type="dxa" w:w="2556"/>
            <w:vAlign w:val="top"/>
          </w:tcPr>
          <w:p>
            <w:r>
              <w:t>Tue 28</w:t>
            </w:r>
          </w:p>
        </w:tc>
        <w:tc>
          <w:tcPr>
            <w:tcW w:type="dxa" w:w="2556"/>
            <w:vAlign w:val="top"/>
          </w:tcPr>
          <w:p>
            <w:r>
              <w:t>Confirm demo and production reception hostnames, private application paths, public/ document roots, databases, HTTPS, backups and cron capability.</w:t>
            </w:r>
          </w:p>
        </w:tc>
        <w:tc>
          <w:tcPr>
            <w:tcW w:type="dxa" w:w="2556"/>
            <w:vAlign w:val="top"/>
          </w:tcPr>
          <w:p>
            <w:r>
              <w:t>Hosting topology record, access validation and least-privilege deployment checklist.</w:t>
            </w:r>
          </w:p>
        </w:tc>
        <w:tc>
          <w:tcPr>
            <w:tcW w:type="dxa" w:w="2556"/>
            <w:vAlign w:val="top"/>
          </w:tcPr>
          <w:p>
            <w:r>
              <w:t>Do not deploy Laravel into a WordPress public directory or accept invalid TLS.</w:t>
            </w:r>
          </w:p>
        </w:tc>
      </w:tr>
      <w:tr>
        <w:tc>
          <w:tcPr>
            <w:tcW w:type="dxa" w:w="2556"/>
            <w:vAlign w:val="top"/>
          </w:tcPr>
          <w:p>
            <w:r>
              <w:t>Wed 29</w:t>
            </w:r>
          </w:p>
        </w:tc>
        <w:tc>
          <w:tcPr>
            <w:tcW w:type="dxa" w:w="2556"/>
            <w:vAlign w:val="top"/>
          </w:tcPr>
          <w:p>
            <w:r>
              <w:t>Resume the partially deployed reception backend: configure a demo-only environment/database, resolve the current HTTP 500, migrate, and verify staff authentication and signed API controls.</w:t>
            </w:r>
          </w:p>
        </w:tc>
        <w:tc>
          <w:tcPr>
            <w:tcW w:type="dxa" w:w="2556"/>
            <w:vAlign w:val="top"/>
          </w:tcPr>
          <w:p>
            <w:r>
              <w:t>Healthy HTTP 200 demo backend, migration evidence, replay rejection, staff register visibility and rollback archive.</w:t>
            </w:r>
          </w:p>
        </w:tc>
        <w:tc>
          <w:tcPr>
            <w:tcW w:type="dxa" w:w="2556"/>
            <w:vAlign w:val="top"/>
          </w:tcPr>
          <w:p>
            <w:r>
              <w:t>Backend health, HTTPS, private-file protection and database backup must pass.</w:t>
            </w:r>
          </w:p>
        </w:tc>
      </w:tr>
      <w:tr>
        <w:tc>
          <w:tcPr>
            <w:tcW w:type="dxa" w:w="2556"/>
            <w:vAlign w:val="top"/>
          </w:tcPr>
          <w:p>
            <w:r>
              <w:t>Thu 30</w:t>
            </w:r>
          </w:p>
        </w:tc>
        <w:tc>
          <w:tcPr>
            <w:tcW w:type="dxa" w:w="2556"/>
            <w:vAlign w:val="top"/>
          </w:tcPr>
          <w:p>
            <w:r>
              <w:t>Deploy the reviewed WordPress child-theme files to demo with the form initially disabled; configure the private API URL/secret, enable last, purge cache and test desktop/mobile.</w:t>
            </w:r>
          </w:p>
        </w:tc>
        <w:tc>
          <w:tcPr>
            <w:tcW w:type="dxa" w:w="2556"/>
            <w:vAlign w:val="top"/>
          </w:tcPr>
          <w:p>
            <w:r>
              <w:t>Accepted demo /reception/ page, successful labelled request, staff follow-up record, accessibility and failure-path evidence.</w:t>
            </w:r>
          </w:p>
        </w:tc>
        <w:tc>
          <w:tcPr>
            <w:tcW w:type="dxa" w:w="2556"/>
            <w:vAlign w:val="top"/>
          </w:tcPr>
          <w:p>
            <w:r>
              <w:t>No main-domain work before demo acceptance; remove labelled test records after inspection.</w:t>
            </w:r>
          </w:p>
        </w:tc>
      </w:tr>
      <w:tr>
        <w:tc>
          <w:tcPr>
            <w:tcW w:type="dxa" w:w="2556"/>
            <w:vAlign w:val="top"/>
          </w:tcPr>
          <w:p>
            <w:r>
              <w:t>Fri 31</w:t>
            </w:r>
          </w:p>
        </w:tc>
        <w:tc>
          <w:tcPr>
            <w:tcW w:type="dxa" w:w="2556"/>
            <w:vAlign w:val="top"/>
          </w:tcPr>
          <w:p>
            <w:r>
              <w:t>Prepare or execute the main release only after approval. Repeat backups, use a new production secret, deploy backend first, enable the form last and monitor.</w:t>
            </w:r>
          </w:p>
        </w:tc>
        <w:tc>
          <w:tcPr>
            <w:tcW w:type="dxa" w:w="2556"/>
            <w:vAlign w:val="top"/>
          </w:tcPr>
          <w:p>
            <w:r>
              <w:t>Production readiness decision or verified production release, smoke-test record, monitoring snapshot and WMR-13 milestone close.</w:t>
            </w:r>
          </w:p>
        </w:tc>
        <w:tc>
          <w:tcPr>
            <w:tcW w:type="dxa" w:w="2556"/>
            <w:vAlign w:val="top"/>
          </w:tcPr>
          <w:p>
            <w:r>
              <w:t>Named authorization, rollback owner, same-day backups, valid TLS and demo sign-off required.</w:t>
            </w:r>
          </w:p>
        </w:tc>
      </w:tr>
    </w:tbl>
    <w:p>
      <w:pPr>
        <w:pStyle w:val="Heading1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969E2A"/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08"/>
            <w:shd w:fill="969E2A"/>
            <w:vAlign w:val="center"/>
          </w:tcPr>
          <w:p>
            <w:r>
              <w:rPr>
                <w:b/>
                <w:color w:val="FFFFFF"/>
              </w:rPr>
              <w:t>Completion test</w:t>
            </w:r>
          </w:p>
        </w:tc>
        <w:tc>
          <w:tcPr>
            <w:tcW w:type="dxa" w:w="3408"/>
            <w:shd w:fill="969E2A"/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3408"/>
            <w:vAlign w:val="top"/>
          </w:tcPr>
          <w:p>
            <w:r>
              <w:t>Public form</w:t>
            </w:r>
          </w:p>
        </w:tc>
        <w:tc>
          <w:tcPr>
            <w:tcW w:type="dxa" w:w="3408"/>
            <w:vAlign w:val="top"/>
          </w:tcPr>
          <w:p>
            <w:r>
              <w:t>Required fields, optional fields, consent, mobile layout, keyboard use and clear success/error states pass.</w:t>
            </w:r>
          </w:p>
        </w:tc>
        <w:tc>
          <w:tcPr>
            <w:tcW w:type="dxa" w:w="3408"/>
            <w:vAlign w:val="top"/>
          </w:tcPr>
          <w:p>
            <w:r>
              <w:t>No sensitive data in URLs, analytics, browser logs or WordPress storage.</w:t>
            </w:r>
          </w:p>
        </w:tc>
      </w:tr>
      <w:tr>
        <w:tc>
          <w:tcPr>
            <w:tcW w:type="dxa" w:w="3408"/>
            <w:vAlign w:val="top"/>
          </w:tcPr>
          <w:p>
            <w:r>
              <w:t>Signed relay</w:t>
            </w:r>
          </w:p>
        </w:tc>
        <w:tc>
          <w:tcPr>
            <w:tcW w:type="dxa" w:w="3408"/>
            <w:vAlign w:val="top"/>
          </w:tcPr>
          <w:p>
            <w:r>
              <w:t>Valid requests return a WEB reference; stale, changed-signature and replayed requests are rejected.</w:t>
            </w:r>
          </w:p>
        </w:tc>
        <w:tc>
          <w:tcPr>
            <w:tcW w:type="dxa" w:w="3408"/>
            <w:vAlign w:val="top"/>
          </w:tcPr>
          <w:p>
            <w:r>
              <w:t>Different 32+ character secrets for demo and production; server-side storage only.</w:t>
            </w:r>
          </w:p>
        </w:tc>
      </w:tr>
      <w:tr>
        <w:tc>
          <w:tcPr>
            <w:tcW w:type="dxa" w:w="3408"/>
            <w:vAlign w:val="top"/>
          </w:tcPr>
          <w:p>
            <w:r>
              <w:t>Reception Control</w:t>
            </w:r>
          </w:p>
        </w:tc>
        <w:tc>
          <w:tcPr>
            <w:tcW w:type="dxa" w:w="3408"/>
            <w:vAlign w:val="top"/>
          </w:tcPr>
          <w:p>
            <w:r>
              <w:t>Website request is visible, filterable and editable by authorized staff.</w:t>
            </w:r>
          </w:p>
        </w:tc>
        <w:tc>
          <w:tcPr>
            <w:tcW w:type="dxa" w:w="3408"/>
            <w:vAlign w:val="top"/>
          </w:tcPr>
          <w:p>
            <w:r>
              <w:t>Source remains identifiable and staff access continues to be audited.</w:t>
            </w:r>
          </w:p>
        </w:tc>
      </w:tr>
      <w:tr>
        <w:tc>
          <w:tcPr>
            <w:tcW w:type="dxa" w:w="3408"/>
            <w:vAlign w:val="top"/>
          </w:tcPr>
          <w:p>
            <w:r>
              <w:t>Attendance integrity</w:t>
            </w:r>
          </w:p>
        </w:tc>
        <w:tc>
          <w:tcPr>
            <w:tcW w:type="dxa" w:w="3408"/>
            <w:vAlign w:val="top"/>
          </w:tcPr>
          <w:p>
            <w:r>
              <w:t>Website follow-ups do not affect check-in totals, QR share or purpose metrics before physical arrival.</w:t>
            </w:r>
          </w:p>
        </w:tc>
        <w:tc>
          <w:tcPr>
            <w:tcW w:type="dxa" w:w="3408"/>
            <w:vAlign w:val="top"/>
          </w:tcPr>
          <w:p>
            <w:r>
              <w:t>Staff transition sets check-in time only when checked-in/checked-out status is selected.</w:t>
            </w:r>
          </w:p>
        </w:tc>
      </w:tr>
      <w:tr>
        <w:tc>
          <w:tcPr>
            <w:tcW w:type="dxa" w:w="3408"/>
            <w:vAlign w:val="top"/>
          </w:tcPr>
          <w:p>
            <w:r>
              <w:t>Operations</w:t>
            </w:r>
          </w:p>
        </w:tc>
        <w:tc>
          <w:tcPr>
            <w:tcW w:type="dxa" w:w="3408"/>
            <w:vAlign w:val="top"/>
          </w:tcPr>
          <w:p>
            <w:r>
              <w:t>Database backup, migration, scheduler, cache, logs and rollback are verified.</w:t>
            </w:r>
          </w:p>
        </w:tc>
        <w:tc>
          <w:tcPr>
            <w:tcW w:type="dxa" w:w="3408"/>
            <w:vAlign w:val="top"/>
          </w:tcPr>
          <w:p>
            <w:r>
              <w:t>No PII request bodies in logs; encrypted fields and approved retention remain active.</w:t>
            </w:r>
          </w:p>
        </w:tc>
      </w:tr>
      <w:tr>
        <w:tc>
          <w:tcPr>
            <w:tcW w:type="dxa" w:w="3408"/>
            <w:vAlign w:val="top"/>
          </w:tcPr>
          <w:p>
            <w:r>
              <w:t>Deployment</w:t>
            </w:r>
          </w:p>
        </w:tc>
        <w:tc>
          <w:tcPr>
            <w:tcW w:type="dxa" w:w="3408"/>
            <w:vAlign w:val="top"/>
          </w:tcPr>
          <w:p>
            <w:r>
              <w:t>Demo passes before main; backend is healthy before the website form is enabled.</w:t>
            </w:r>
          </w:p>
        </w:tc>
        <w:tc>
          <w:tcPr>
            <w:tcW w:type="dxa" w:w="3408"/>
            <w:vAlign w:val="top"/>
          </w:tcPr>
          <w:p>
            <w:r>
              <w:t>Fail closed with the reception phone number if the backend or configuration is unavailable.</w:t>
            </w:r>
          </w:p>
        </w:tc>
      </w:tr>
    </w:tbl>
    <w:p>
      <w:pPr>
        <w:pStyle w:val="Heading1"/>
      </w:pPr>
      <w:r>
        <w:t>Required owner and hosting inputs</w:t>
      </w:r>
    </w:p>
    <w:p>
      <w:pPr>
        <w:pStyle w:val="ListBullet"/>
      </w:pPr>
      <w:r>
        <w:t>Demo and production reception hostnames.</w:t>
      </w:r>
    </w:p>
    <w:p>
      <w:pPr>
        <w:pStyle w:val="ListBullet"/>
      </w:pPr>
      <w:r>
        <w:t>Private Laravel application directories with document roots mapped only to public/.</w:t>
      </w:r>
    </w:p>
    <w:p>
      <w:pPr>
        <w:pStyle w:val="ListBullet"/>
      </w:pPr>
      <w:r>
        <w:t>Demo and production database credentials, backup method and restore authority.</w:t>
      </w:r>
    </w:p>
    <w:p>
      <w:pPr>
        <w:pStyle w:val="ListBullet"/>
      </w:pPr>
      <w:r>
        <w:t>Certificate-valid HTTPS and a scheduler/cron facility.</w:t>
      </w:r>
    </w:p>
    <w:p>
      <w:pPr>
        <w:pStyle w:val="ListBullet"/>
      </w:pPr>
      <w:r>
        <w:t>Named demo checker, production authorizer and rollback owner.</w:t>
      </w:r>
    </w:p>
    <w:p>
      <w:pPr>
        <w:pStyle w:val="ListBullet"/>
      </w:pPr>
      <w:r>
        <w:t>Privacy/retention confirmation and authorized reception staff accounts.</w:t>
      </w:r>
    </w:p>
    <w:p>
      <w:pPr>
        <w:pStyle w:val="Heading1"/>
      </w:pPr>
      <w:r>
        <w:t>Immediate rollback</w:t>
      </w:r>
    </w:p>
    <w:p>
      <w:r>
        <w:t>Set TOOLKIT_RECEPTION_FORM_ENABLED to false and purge LiteSpeed. The public page will retain the phone fallback and stop sending data. Restore the previous child-theme package only for a presentation defect. Roll back Laravel independently; do not reverse the nullable check-in migration while website follow-up records exist. Rotate the shared secret if exposure is suspected.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Toolkit Africa | Reception Integration, Demo Acceptance and Production Readiness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06A68"/>
        <w:sz w:val="16"/>
      </w:rPr>
      <w:t>TOOLKIT AFRICA  /  WEEKLY WORK PLAN  /  27-31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B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