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Liberation Sans" w:hAnsi="Liberation Sans"/>
          <w:b/>
          <w:sz w:val="30"/>
        </w:rPr>
        <w:t>ICT &amp; DIGITAL SUPPORT – Q4 2026 OKRs</w:t>
      </w:r>
    </w:p>
    <w:p>
      <w:r>
        <w:rPr>
          <w:rFonts w:ascii="Liberation Sans" w:hAnsi="Liberation Sans"/>
        </w:rPr>
        <w:t>Individual OKRs – ICT &amp; Digital Support | 1 October–31 December 2026 | Prepared 13 October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535"/>
        <w:gridCol w:w="6180"/>
        <w:gridCol w:w="1871"/>
      </w:tblGrid>
      <w:tr>
        <w:trPr>
          <w:tblHeader/>
        </w:trPr>
        <w:tc>
          <w:tcPr>
            <w:tcW w:type="dxa" w:w="2891"/>
            <w:shd w:fill="E8EEF3"/>
          </w:tcPr>
          <w:p>
            <w:r>
              <w:rPr>
                <w:rFonts w:ascii="Liberation Sans" w:hAnsi="Liberation Sans"/>
                <w:b/>
              </w:rPr>
              <w:t>OBJECTIVE</w:t>
            </w:r>
          </w:p>
        </w:tc>
        <w:tc>
          <w:tcPr>
            <w:tcW w:type="dxa" w:w="4535"/>
            <w:shd w:fill="E8EEF3"/>
          </w:tcPr>
          <w:p>
            <w:r>
              <w:rPr>
                <w:rFonts w:ascii="Liberation Sans" w:hAnsi="Liberation Sans"/>
                <w:b/>
              </w:rPr>
              <w:t>KEY RESULTS</w:t>
            </w:r>
          </w:p>
        </w:tc>
        <w:tc>
          <w:tcPr>
            <w:tcW w:type="dxa" w:w="6180"/>
            <w:shd w:fill="E8EEF3"/>
          </w:tcPr>
          <w:p>
            <w:r>
              <w:rPr>
                <w:rFonts w:ascii="Liberation Sans" w:hAnsi="Liberation Sans"/>
                <w:b/>
              </w:rPr>
              <w:t>MILESTONES / ACTIVITIES</w:t>
            </w:r>
          </w:p>
        </w:tc>
        <w:tc>
          <w:tcPr>
            <w:tcW w:type="dxa" w:w="1871"/>
            <w:shd w:fill="E8EEF3"/>
          </w:tcPr>
          <w:p>
            <w:r>
              <w:rPr>
                <w:rFonts w:ascii="Liberation Sans" w:hAnsi="Liberation Sans"/>
                <w:b/>
              </w:rPr>
              <w:t>TIMELINE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sz w:val="18"/>
              </w:rPr>
              <w:t>1. Improve Website Accuracy, Admissions and Search Visibility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Keep 100% of published course and fee updates aligned with approved information.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Confirm details with Admissions and Finance; update the website and check the published pages.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Ongoing; monthly review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Ensure at least 98% of valid demo applications reach the authorised destination during release testing.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Test contact validation, required fields and application handoff on demo; retain results and fix failures.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Each relevant release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Include 100% of active, approved course pages in the sitemap and relevant website links.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Recheck the search audit findings; correct course discovery and verify sitemap entries and links.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30 November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and verify at least 3 priority mobile performance or usability improvements.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Use the audit and mobile checks to select fixes; compare the same pages before and after each change.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30 November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3 monthly reviews of website traffic and search visibility.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Confirm first-party analytics data; arrange authorised Search Console access and record available results and gaps.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October, November, December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535"/>
        <w:gridCol w:w="6180"/>
        <w:gridCol w:w="1871"/>
      </w:tblGrid>
      <w:tr>
        <w:trPr>
          <w:tblHeader/>
        </w:trPr>
        <w:tc>
          <w:tcPr>
            <w:tcW w:type="dxa" w:w="2891"/>
            <w:shd w:fill="E8EEF3"/>
          </w:tcPr>
          <w:p>
            <w:r>
              <w:rPr>
                <w:rFonts w:ascii="Liberation Sans" w:hAnsi="Liberation Sans"/>
                <w:b/>
              </w:rPr>
              <w:t>OBJECTIVE</w:t>
            </w:r>
          </w:p>
        </w:tc>
        <w:tc>
          <w:tcPr>
            <w:tcW w:type="dxa" w:w="4535"/>
            <w:shd w:fill="E8EEF3"/>
          </w:tcPr>
          <w:p>
            <w:r>
              <w:rPr>
                <w:rFonts w:ascii="Liberation Sans" w:hAnsi="Liberation Sans"/>
                <w:b/>
              </w:rPr>
              <w:t>KEY RESULTS</w:t>
            </w:r>
          </w:p>
        </w:tc>
        <w:tc>
          <w:tcPr>
            <w:tcW w:type="dxa" w:w="6180"/>
            <w:shd w:fill="E8EEF3"/>
          </w:tcPr>
          <w:p>
            <w:r>
              <w:rPr>
                <w:rFonts w:ascii="Liberation Sans" w:hAnsi="Liberation Sans"/>
                <w:b/>
              </w:rPr>
              <w:t>MILESTONES / ACTIVITIES</w:t>
            </w:r>
          </w:p>
        </w:tc>
        <w:tc>
          <w:tcPr>
            <w:tcW w:type="dxa" w:w="1871"/>
            <w:shd w:fill="E8EEF3"/>
          </w:tcPr>
          <w:p>
            <w:r>
              <w:rPr>
                <w:rFonts w:ascii="Liberation Sans" w:hAnsi="Liberation Sans"/>
                <w:b/>
              </w:rPr>
              <w:t>TIMELINE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sz w:val="18"/>
              </w:rPr>
              <w:t>2. Improve Reception and Staff Reporting Workflows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one signed-in staff acceptance review for Reception and one for Reporting; resolve or assign every finding.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Ask staff to check registration, checkout, record permissions and dashboard links; log results, owners and due dates.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31 October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Review the expanded Reporting modules on a demo or private staging environment and release the approved scope.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Reconcile local and live versions; demonstrate admissions, intake, meetings, reminders and OKRs; deploy after sign-off.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Review by 30 November; approved release by 31 December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Assign an owner, baseline and evidence source to 100% of adopted Q4 key results.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Confirm accountable staff and measurement rules; enter adopted targets in the OKR register when available.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30 November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Record decisions and next actions for all pending Reception notification, location-checkout and recovery requirements.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Review provider approval, physical boundary tests and backup ownership with the responsible departments.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30 November; monthly follow-up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Wingu field mapping and one non-submitting dry run after the required inputs are approved.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Obtain the attendance-format decision and correction owner; use a human-authenticated session and document the result.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31 December, subject to owner inputs</w:t>
            </w:r>
          </w:p>
        </w:tc>
      </w:tr>
    </w:tbl>
    <w:p>
      <w:pPr>
        <w:spacing w:after="40"/>
      </w:pPr>
    </w:p>
    <w:p>
      <w:r>
        <w:rPr>
          <w:rFonts w:ascii="Liberation Sans" w:hAnsi="Liberation Sans"/>
        </w:rPr>
        <w:br w:type="page"/>
      </w:r>
    </w:p>
    <w:p>
      <w:pPr>
        <w:spacing w:after="60"/>
      </w:pPr>
      <w:r>
        <w:rPr>
          <w:rFonts w:ascii="Liberation Sans" w:hAnsi="Liberation Sans"/>
          <w:b/>
          <w:sz w:val="30"/>
        </w:rPr>
        <w:t>ICT &amp; DIGITAL SUPPORT – Q4 2026 OKRs</w:t>
      </w:r>
    </w:p>
    <w:p>
      <w:r>
        <w:rPr>
          <w:rFonts w:ascii="Liberation Sans" w:hAnsi="Liberation Sans"/>
        </w:rPr>
        <w:t>Individual OKRs – ICT &amp; Digital Support | 1 October–31 December 2026 | Prepared 13 October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535"/>
        <w:gridCol w:w="6180"/>
        <w:gridCol w:w="1871"/>
      </w:tblGrid>
      <w:tr>
        <w:trPr>
          <w:tblHeader/>
        </w:trPr>
        <w:tc>
          <w:tcPr>
            <w:tcW w:type="dxa" w:w="2891"/>
            <w:shd w:fill="E8EEF3"/>
          </w:tcPr>
          <w:p>
            <w:r>
              <w:rPr>
                <w:rFonts w:ascii="Liberation Sans" w:hAnsi="Liberation Sans"/>
                <w:b/>
              </w:rPr>
              <w:t>OBJECTIVE</w:t>
            </w:r>
          </w:p>
        </w:tc>
        <w:tc>
          <w:tcPr>
            <w:tcW w:type="dxa" w:w="4535"/>
            <w:shd w:fill="E8EEF3"/>
          </w:tcPr>
          <w:p>
            <w:r>
              <w:rPr>
                <w:rFonts w:ascii="Liberation Sans" w:hAnsi="Liberation Sans"/>
                <w:b/>
              </w:rPr>
              <w:t>KEY RESULTS</w:t>
            </w:r>
          </w:p>
        </w:tc>
        <w:tc>
          <w:tcPr>
            <w:tcW w:type="dxa" w:w="6180"/>
            <w:shd w:fill="E8EEF3"/>
          </w:tcPr>
          <w:p>
            <w:r>
              <w:rPr>
                <w:rFonts w:ascii="Liberation Sans" w:hAnsi="Liberation Sans"/>
                <w:b/>
              </w:rPr>
              <w:t>MILESTONES / ACTIVITIES</w:t>
            </w:r>
          </w:p>
        </w:tc>
        <w:tc>
          <w:tcPr>
            <w:tcW w:type="dxa" w:w="1871"/>
            <w:shd w:fill="E8EEF3"/>
          </w:tcPr>
          <w:p>
            <w:r>
              <w:rPr>
                <w:rFonts w:ascii="Liberation Sans" w:hAnsi="Liberation Sans"/>
                <w:b/>
              </w:rPr>
              <w:t>TIMELINE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sz w:val="18"/>
              </w:rPr>
              <w:t>3. Prepare a Governed Virtual Campus and AI Support Pilot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Pass one 20-minute live-class acceptance session on two real devices with a lecturer and learner.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Check audio, video, screen sharing, reconnect and paid/unpaid access on staging; record and address failures.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30 November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Record a pilot go/no-go decision with an owner and next action for every outstanding launch requirement.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Review course and learner data, assessment rules, mail, privacy, capacity and recovery evidence with the Academic lead.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31 December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Ensure 100% of lessons selected for an approved pilot have captions and a low-bandwidth option.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Check selected lesson materials; confirm live-caption arrangements and support guidance before the pilot starts.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Before any pilot launch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Review at least 20 common questions for Smart Lecturer and the website assistant; all reviewed answers must use approved sources or refer to staff.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Check existing prototypes against current course and policy information; correct unsupported answers and record the review.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31 December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535"/>
        <w:gridCol w:w="6180"/>
        <w:gridCol w:w="1871"/>
      </w:tblGrid>
      <w:tr>
        <w:trPr>
          <w:tblHeader/>
        </w:trPr>
        <w:tc>
          <w:tcPr>
            <w:tcW w:type="dxa" w:w="2891"/>
            <w:shd w:fill="E8EEF3"/>
          </w:tcPr>
          <w:p>
            <w:r>
              <w:rPr>
                <w:rFonts w:ascii="Liberation Sans" w:hAnsi="Liberation Sans"/>
                <w:b/>
              </w:rPr>
              <w:t>OBJECTIVE</w:t>
            </w:r>
          </w:p>
        </w:tc>
        <w:tc>
          <w:tcPr>
            <w:tcW w:type="dxa" w:w="4535"/>
            <w:shd w:fill="E8EEF3"/>
          </w:tcPr>
          <w:p>
            <w:r>
              <w:rPr>
                <w:rFonts w:ascii="Liberation Sans" w:hAnsi="Liberation Sans"/>
                <w:b/>
              </w:rPr>
              <w:t>KEY RESULTS</w:t>
            </w:r>
          </w:p>
        </w:tc>
        <w:tc>
          <w:tcPr>
            <w:tcW w:type="dxa" w:w="6180"/>
            <w:shd w:fill="E8EEF3"/>
          </w:tcPr>
          <w:p>
            <w:r>
              <w:rPr>
                <w:rFonts w:ascii="Liberation Sans" w:hAnsi="Liberation Sans"/>
                <w:b/>
              </w:rPr>
              <w:t>MILESTONES / ACTIVITIES</w:t>
            </w:r>
          </w:p>
        </w:tc>
        <w:tc>
          <w:tcPr>
            <w:tcW w:type="dxa" w:w="1871"/>
            <w:shd w:fill="E8EEF3"/>
          </w:tcPr>
          <w:p>
            <w:r>
              <w:rPr>
                <w:rFonts w:ascii="Liberation Sans" w:hAnsi="Liberation Sans"/>
                <w:b/>
              </w:rPr>
              <w:t>TIMELINE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sz w:val="18"/>
              </w:rPr>
              <w:t>4. Strengthen Security, Recovery and Release Reliability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Assign an owner and deadline to every open critical/high audit finding and verify all fixes approved for Q4.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Recheck the hosting and system findings; prioritise access, exposed services and patching; retain evidence or blocker reasons.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Owners by 31 October; fixes by 30 November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one documented restore exercise each for the website, Reception and Reporting.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Confirm backup owners and restricted locations; restore data and required keys in an isolated environment and record results.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31 December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one access and secret-storage review for every maintained system.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Review privileged accounts, approved staff access and secret-file permissions; remove or correct unauthorised access.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By 30 November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Ensure 100% of production releases have demo/staging results, a rollback reference and post-release verification.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Use the release checklist; confirm real-page status, asset/release version and runtime errors; record the outcome.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Every release</w:t>
            </w:r>
          </w:p>
        </w:tc>
      </w:tr>
    </w:tbl>
    <w:p>
      <w:pPr>
        <w:spacing w:after="40"/>
      </w:pPr>
    </w:p>
    <w:p>
      <w:r>
        <w:rPr>
          <w:rFonts w:ascii="Liberation Sans" w:hAnsi="Liberation Sans"/>
        </w:rPr>
        <w:br w:type="page"/>
      </w:r>
    </w:p>
    <w:p>
      <w:pPr>
        <w:spacing w:after="60"/>
      </w:pPr>
      <w:r>
        <w:rPr>
          <w:rFonts w:ascii="Liberation Sans" w:hAnsi="Liberation Sans"/>
          <w:b/>
          <w:sz w:val="30"/>
        </w:rPr>
        <w:t>ICT &amp; DIGITAL SUPPORT – Q4 2026 OKRs</w:t>
      </w:r>
    </w:p>
    <w:p>
      <w:r>
        <w:rPr>
          <w:rFonts w:ascii="Liberation Sans" w:hAnsi="Liberation Sans"/>
        </w:rPr>
        <w:t>Individual OKRs – ICT &amp; Digital Support | 1 October–31 December 2026 | Prepared 13 October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535"/>
        <w:gridCol w:w="6180"/>
        <w:gridCol w:w="1871"/>
      </w:tblGrid>
      <w:tr>
        <w:trPr>
          <w:tblHeader/>
        </w:trPr>
        <w:tc>
          <w:tcPr>
            <w:tcW w:type="dxa" w:w="2891"/>
            <w:shd w:fill="E8EEF3"/>
          </w:tcPr>
          <w:p>
            <w:r>
              <w:rPr>
                <w:rFonts w:ascii="Liberation Sans" w:hAnsi="Liberation Sans"/>
                <w:b/>
              </w:rPr>
              <w:t>OBJECTIVE</w:t>
            </w:r>
          </w:p>
        </w:tc>
        <w:tc>
          <w:tcPr>
            <w:tcW w:type="dxa" w:w="4535"/>
            <w:shd w:fill="E8EEF3"/>
          </w:tcPr>
          <w:p>
            <w:r>
              <w:rPr>
                <w:rFonts w:ascii="Liberation Sans" w:hAnsi="Liberation Sans"/>
                <w:b/>
              </w:rPr>
              <w:t>KEY RESULTS</w:t>
            </w:r>
          </w:p>
        </w:tc>
        <w:tc>
          <w:tcPr>
            <w:tcW w:type="dxa" w:w="6180"/>
            <w:shd w:fill="E8EEF3"/>
          </w:tcPr>
          <w:p>
            <w:r>
              <w:rPr>
                <w:rFonts w:ascii="Liberation Sans" w:hAnsi="Liberation Sans"/>
                <w:b/>
              </w:rPr>
              <w:t>MILESTONES / ACTIVITIES</w:t>
            </w:r>
          </w:p>
        </w:tc>
        <w:tc>
          <w:tcPr>
            <w:tcW w:type="dxa" w:w="1871"/>
            <w:shd w:fill="E8EEF3"/>
          </w:tcPr>
          <w:p>
            <w:r>
              <w:rPr>
                <w:rFonts w:ascii="Liberation Sans" w:hAnsi="Liberation Sans"/>
                <w:b/>
              </w:rPr>
              <w:t>TIMELINE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sz w:val="18"/>
              </w:rPr>
              <w:t>5. Deliver Consistent Posters and Communications Support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Deliver at least 90% of assigned poster and design requests within the agreed turnaround.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Confirm each brief, required content and deadline; create or revise artwork and track handover and delays.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Continuous; monthly review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Check and obtain approval for 100% of final artwork before release.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Review branding, readability, dates, contacts and any prices against approved information; retain the approval.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Every handover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Retain editable sources and required print/digital exports for 100% of completed design requests.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Save approved versions in the shared library with clear names, source files and handover records.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Every handover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3 monthly reviews of the communications library.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Update approval status, group repeated copies and archive outdated artwork so current materials are easy to find.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October, November, December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4535"/>
        <w:gridCol w:w="6180"/>
        <w:gridCol w:w="1871"/>
      </w:tblGrid>
      <w:tr>
        <w:trPr>
          <w:tblHeader/>
        </w:trPr>
        <w:tc>
          <w:tcPr>
            <w:tcW w:type="dxa" w:w="2891"/>
            <w:shd w:fill="E8EEF3"/>
          </w:tcPr>
          <w:p>
            <w:r>
              <w:rPr>
                <w:rFonts w:ascii="Liberation Sans" w:hAnsi="Liberation Sans"/>
                <w:b/>
              </w:rPr>
              <w:t>OBJECTIVE</w:t>
            </w:r>
          </w:p>
        </w:tc>
        <w:tc>
          <w:tcPr>
            <w:tcW w:type="dxa" w:w="4535"/>
            <w:shd w:fill="E8EEF3"/>
          </w:tcPr>
          <w:p>
            <w:r>
              <w:rPr>
                <w:rFonts w:ascii="Liberation Sans" w:hAnsi="Liberation Sans"/>
                <w:b/>
              </w:rPr>
              <w:t>KEY RESULTS</w:t>
            </w:r>
          </w:p>
        </w:tc>
        <w:tc>
          <w:tcPr>
            <w:tcW w:type="dxa" w:w="6180"/>
            <w:shd w:fill="E8EEF3"/>
          </w:tcPr>
          <w:p>
            <w:r>
              <w:rPr>
                <w:rFonts w:ascii="Liberation Sans" w:hAnsi="Liberation Sans"/>
                <w:b/>
              </w:rPr>
              <w:t>MILESTONES / ACTIVITIES</w:t>
            </w:r>
          </w:p>
        </w:tc>
        <w:tc>
          <w:tcPr>
            <w:tcW w:type="dxa" w:w="1871"/>
            <w:shd w:fill="E8EEF3"/>
          </w:tcPr>
          <w:p>
            <w:r>
              <w:rPr>
                <w:rFonts w:ascii="Liberation Sans" w:hAnsi="Liberation Sans"/>
                <w:b/>
              </w:rPr>
              <w:t>TIMELINE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b/>
                <w:sz w:val="18"/>
              </w:rPr>
              <w:t>6. Provide Reliable ICT Support and Clear Work Reporting</w:t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Acknowledge at least 90% of logged ICT support requests within two working days.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Log staff and desktop issues; give a next action and update unresolved requests until closure or escalation.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Continuous; weekly review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Record every codebase change in its worklog and provide a daily-report draft for each work session.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Keep evidence and pending work clear; hand the daily draft to the staff member for submission under their own account.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Per change / session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</w:r>
          </w:p>
        </w:tc>
        <w:tc>
          <w:tcPr>
            <w:tcW w:type="dxa" w:w="4535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Complete 3 monthly progress reviews and prepare the Q1 2027 work plan.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Report results against adopted targets, name blocker owners and agree the next quarter priorities with management.</w:t>
            </w:r>
          </w:p>
        </w:tc>
        <w:tc>
          <w:tcPr>
            <w:tcW w:type="dxa" w:w="1871"/>
          </w:tcPr>
          <w:p>
            <w:pPr>
              <w:spacing w:after="20" w:before="20"/>
            </w:pPr>
            <w:r>
              <w:rPr>
                <w:rFonts w:ascii="Liberation Sans" w:hAnsi="Liberation Sans"/>
                <w:sz w:val="18"/>
              </w:rPr>
              <w:t>Monthly; Q1 plan by 31 December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8" w:h="11906" w:orient="landscape"/>
      <w:pgMar w:top="567" w:right="624" w:bottom="567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</w:rPr>
      <w:t>Proposed targets for review. Confirm the owner and dependencies; retain evidence for completed results.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Toolkit ICT &amp; Digital Support — Q4 2026 OKRs</dc:title>
  <dc:subject>Quarterly targets based on existing systems, pending work and continuous communications support</dc:subject>
  <dc:creator>Toolkit ICT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