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start"/>
        <w:rPr/>
      </w:pPr>
      <w:r>
        <w:rPr/>
        <w:t>Toolkit OKRs — August 2026 to July 2027</w:t>
      </w:r>
    </w:p>
    <w:p>
      <w:pPr>
        <w:pStyle w:val="BodyText"/>
        <w:bidi w:val="0"/>
        <w:jc w:val="start"/>
        <w:rPr/>
      </w:pPr>
      <w:r>
        <w:rPr>
          <w:rStyle w:val="Strong"/>
        </w:rPr>
        <w:t>Prepared:</w:t>
      </w:r>
      <w:r>
        <w:rPr/>
        <w:t xml:space="preserve"> 31 August 2026</w:t>
        <w:br/>
      </w:r>
      <w:r>
        <w:rPr>
          <w:rStyle w:val="Strong"/>
        </w:rPr>
        <w:t>Scope:</w:t>
      </w:r>
      <w:r>
        <w:rPr/>
        <w:t xml:space="preserve"> Website, Reception, Report System, Smart Lecturer, Virtual Campus, Chat-bot, security, deployment operations and the poster/communications library</w:t>
        <w:br/>
      </w:r>
      <w:r>
        <w:rPr>
          <w:rStyle w:val="Strong"/>
        </w:rPr>
        <w:t>Status:</w:t>
      </w:r>
      <w:r>
        <w:rPr/>
        <w:t xml:space="preserve"> Finalized portfolio baseline; backdated through 31 August 2026</w:t>
      </w:r>
    </w:p>
    <w:p>
      <w:pPr>
        <w:pStyle w:val="Heading2"/>
        <w:bidi w:val="0"/>
        <w:jc w:val="start"/>
        <w:rPr/>
      </w:pPr>
      <w:r>
        <w:rPr/>
        <w:t>How to use this document</w:t>
      </w:r>
    </w:p>
    <w:p>
      <w:pPr>
        <w:pStyle w:val="BodyText"/>
        <w:bidi w:val="0"/>
        <w:jc w:val="start"/>
        <w:rPr/>
      </w:pPr>
      <w:r>
        <w:rPr/>
        <w:t>These are the approved outcome measures for the Toolkit portfolio, not a list of coding tasks. The baseline records work evidenced in the repositories from 20 to 31 August 2026. The targets are now the working portfolio targets. Department leads must still assign a named person and confirm each operational denominator before the Report System activates a key result for live reporting.</w:t>
      </w:r>
    </w:p>
    <w:p>
      <w:pPr>
        <w:pStyle w:val="BodyText"/>
        <w:bidi w:val="0"/>
        <w:jc w:val="start"/>
        <w:rPr/>
      </w:pPr>
      <w:r>
        <w:rPr/>
        <w:t>The Report System now provides the working register for these objectives. An executive can explicitly load all eight objectives and thirty key results as idempotent assignment-ready records, then assign named owners and keep append-only progress/evidence updates. Poster and campaign work is recorded by referencing the approved asset or campaign in the key-result evidence trail. Activation is blocked until the objective and all its key results have named owners and have been moved out of Draft. Draft in the application therefore means “awaiting accountable user assignment”; it no longer means that the portfolio target itself is undecided.</w:t>
      </w:r>
    </w:p>
    <w:p>
      <w:pPr>
        <w:pStyle w:val="Heading2"/>
        <w:bidi w:val="0"/>
        <w:jc w:val="start"/>
        <w:rPr/>
      </w:pPr>
      <w:r>
        <w:rPr/>
        <w:t>Backdated portfolio checkpoint</w:t>
      </w:r>
    </w:p>
    <w:p>
      <w:pPr>
        <w:pStyle w:val="BodyText"/>
        <w:bidi w:val="0"/>
        <w:jc w:val="start"/>
        <w:rPr/>
      </w:pPr>
      <w:r>
        <w:rPr/>
        <w:t>This checkpoint credits completed and verified foundation work without turning implementation activity into invented outcome percentages. Measures that need real users, a reporting month or an approved denominator remain at “measurement starts at pilot” even where their supporting system is already built.</w:t>
      </w:r>
    </w:p>
    <w:tbl>
      <w:tblPr>
        <w:tblW w:w="9866" w:type="dxa"/>
        <w:jc w:val="start"/>
        <w:tblInd w:w="0" w:type="dxa"/>
        <w:tblLayout w:type="fixed"/>
        <w:tblCellMar>
          <w:top w:w="28" w:type="dxa"/>
          <w:start w:w="28" w:type="dxa"/>
          <w:bottom w:w="28" w:type="dxa"/>
          <w:end w:w="28" w:type="dxa"/>
        </w:tblCellMar>
      </w:tblPr>
      <w:tblGrid>
        <w:gridCol w:w="1430"/>
        <w:gridCol w:w="1130"/>
        <w:gridCol w:w="4663"/>
        <w:gridCol w:w="2643"/>
      </w:tblGrid>
      <w:tr>
        <w:trPr>
          <w:tblHeader w:val="true"/>
        </w:trPr>
        <w:tc>
          <w:tcPr>
            <w:tcW w:w="1430" w:type="dxa"/>
            <w:tcBorders/>
            <w:vAlign w:val="center"/>
          </w:tcPr>
          <w:p>
            <w:pPr>
              <w:pStyle w:val="TableHeading"/>
              <w:suppressLineNumbers/>
              <w:shd w:fill="33594B" w:val="clear"/>
              <w:bidi w:val="0"/>
              <w:jc w:val="start"/>
              <w:rPr/>
            </w:pPr>
            <w:r>
              <w:rPr/>
              <w:t>Objective</w:t>
            </w:r>
          </w:p>
        </w:tc>
        <w:tc>
          <w:tcPr>
            <w:tcW w:w="1130" w:type="dxa"/>
            <w:tcBorders/>
            <w:vAlign w:val="center"/>
          </w:tcPr>
          <w:p>
            <w:pPr>
              <w:pStyle w:val="TableHeading"/>
              <w:suppressLineNumbers/>
              <w:shd w:fill="33594B" w:val="clear"/>
              <w:bidi w:val="0"/>
              <w:jc w:val="start"/>
              <w:rPr/>
            </w:pPr>
            <w:r>
              <w:rPr/>
              <w:t>Evidence date</w:t>
            </w:r>
          </w:p>
        </w:tc>
        <w:tc>
          <w:tcPr>
            <w:tcW w:w="4663" w:type="dxa"/>
            <w:tcBorders/>
            <w:vAlign w:val="center"/>
          </w:tcPr>
          <w:p>
            <w:pPr>
              <w:pStyle w:val="TableHeading"/>
              <w:suppressLineNumbers/>
              <w:shd w:fill="33594B" w:val="clear"/>
              <w:bidi w:val="0"/>
              <w:jc w:val="start"/>
              <w:rPr/>
            </w:pPr>
            <w:r>
              <w:rPr/>
              <w:t>Backdated position</w:t>
            </w:r>
          </w:p>
        </w:tc>
        <w:tc>
          <w:tcPr>
            <w:tcW w:w="2643" w:type="dxa"/>
            <w:tcBorders/>
            <w:vAlign w:val="center"/>
          </w:tcPr>
          <w:p>
            <w:pPr>
              <w:pStyle w:val="TableHeading"/>
              <w:suppressLineNumbers/>
              <w:shd w:fill="33594B" w:val="clear"/>
              <w:bidi w:val="0"/>
              <w:jc w:val="start"/>
              <w:rPr/>
            </w:pPr>
            <w:r>
              <w:rPr/>
              <w:t>Next measurable event</w:t>
            </w:r>
          </w:p>
        </w:tc>
      </w:tr>
      <w:tr>
        <w:trPr/>
        <w:tc>
          <w:tcPr>
            <w:tcW w:w="1430" w:type="dxa"/>
            <w:tcBorders/>
            <w:vAlign w:val="center"/>
          </w:tcPr>
          <w:p>
            <w:pPr>
              <w:pStyle w:val="TableContents"/>
              <w:widowControl w:val="false"/>
              <w:suppressLineNumbers/>
              <w:bidi w:val="0"/>
              <w:jc w:val="start"/>
              <w:rPr/>
            </w:pPr>
            <w:r>
              <w:rPr/>
              <w:t>Public website</w:t>
            </w:r>
          </w:p>
        </w:tc>
        <w:tc>
          <w:tcPr>
            <w:tcW w:w="1130" w:type="dxa"/>
            <w:tcBorders/>
            <w:vAlign w:val="center"/>
          </w:tcPr>
          <w:p>
            <w:pPr>
              <w:pStyle w:val="TableContents"/>
              <w:widowControl w:val="false"/>
              <w:suppressLineNumbers/>
              <w:bidi w:val="0"/>
              <w:jc w:val="start"/>
              <w:rPr/>
            </w:pPr>
            <w:r>
              <w:rPr/>
              <w:t>20–24 Aug 2026</w:t>
            </w:r>
          </w:p>
        </w:tc>
        <w:tc>
          <w:tcPr>
            <w:tcW w:w="4663" w:type="dxa"/>
            <w:tcBorders/>
            <w:vAlign w:val="center"/>
          </w:tcPr>
          <w:p>
            <w:pPr>
              <w:pStyle w:val="TableContents"/>
              <w:widowControl w:val="false"/>
              <w:suppressLineNumbers/>
              <w:bidi w:val="0"/>
              <w:jc w:val="start"/>
              <w:rPr/>
            </w:pPr>
            <w:r>
              <w:rPr/>
              <w:t>Course/pricing catalogue, application relay, encrypted applicant details and incident containment were implemented or verified; patched theme release remains open</w:t>
            </w:r>
          </w:p>
        </w:tc>
        <w:tc>
          <w:tcPr>
            <w:tcW w:w="2643" w:type="dxa"/>
            <w:tcBorders/>
            <w:vAlign w:val="center"/>
          </w:tcPr>
          <w:p>
            <w:pPr>
              <w:pStyle w:val="TableContents"/>
              <w:widowControl w:val="false"/>
              <w:suppressLineNumbers/>
              <w:bidi w:val="0"/>
              <w:jc w:val="start"/>
              <w:rPr/>
            </w:pPr>
            <w:r>
              <w:rPr/>
              <w:t>Reconcile the next approved catalogue release and begin monthly route monitoring</w:t>
            </w:r>
          </w:p>
        </w:tc>
      </w:tr>
      <w:tr>
        <w:trPr/>
        <w:tc>
          <w:tcPr>
            <w:tcW w:w="1430" w:type="dxa"/>
            <w:tcBorders/>
            <w:vAlign w:val="center"/>
          </w:tcPr>
          <w:p>
            <w:pPr>
              <w:pStyle w:val="TableContents"/>
              <w:widowControl w:val="false"/>
              <w:suppressLineNumbers/>
              <w:bidi w:val="0"/>
              <w:jc w:val="start"/>
              <w:rPr/>
            </w:pPr>
            <w:r>
              <w:rPr/>
              <w:t>Reception</w:t>
            </w:r>
          </w:p>
        </w:tc>
        <w:tc>
          <w:tcPr>
            <w:tcW w:w="1130" w:type="dxa"/>
            <w:tcBorders/>
            <w:vAlign w:val="center"/>
          </w:tcPr>
          <w:p>
            <w:pPr>
              <w:pStyle w:val="TableContents"/>
              <w:widowControl w:val="false"/>
              <w:suppressLineNumbers/>
              <w:bidi w:val="0"/>
              <w:jc w:val="start"/>
              <w:rPr/>
            </w:pPr>
            <w:r>
              <w:rPr/>
              <w:t>25–28 Aug 2026</w:t>
            </w:r>
          </w:p>
        </w:tc>
        <w:tc>
          <w:tcPr>
            <w:tcW w:w="4663" w:type="dxa"/>
            <w:tcBorders/>
            <w:vAlign w:val="center"/>
          </w:tcPr>
          <w:p>
            <w:pPr>
              <w:pStyle w:val="TableContents"/>
              <w:widowControl w:val="false"/>
              <w:suppressLineNumbers/>
              <w:bidi w:val="0"/>
              <w:jc w:val="start"/>
              <w:rPr/>
            </w:pPr>
            <w:r>
              <w:rPr/>
              <w:t>QR registration, draft autosave, required-field validation, private staff access, exports and audit records were implemented and deployed to demo; WhatsApp delivery remains approval-gated</w:t>
            </w:r>
          </w:p>
        </w:tc>
        <w:tc>
          <w:tcPr>
            <w:tcW w:w="2643" w:type="dxa"/>
            <w:tcBorders/>
            <w:vAlign w:val="center"/>
          </w:tcPr>
          <w:p>
            <w:pPr>
              <w:pStyle w:val="TableContents"/>
              <w:widowControl w:val="false"/>
              <w:suppressLineNumbers/>
              <w:bidi w:val="0"/>
              <w:jc w:val="start"/>
              <w:rPr/>
            </w:pPr>
            <w:r>
              <w:rPr/>
              <w:t>Record the first approved operating month’s digital coverage, completeness and follow-up rates</w:t>
            </w:r>
          </w:p>
        </w:tc>
      </w:tr>
      <w:tr>
        <w:trPr/>
        <w:tc>
          <w:tcPr>
            <w:tcW w:w="1430" w:type="dxa"/>
            <w:tcBorders/>
            <w:vAlign w:val="center"/>
          </w:tcPr>
          <w:p>
            <w:pPr>
              <w:pStyle w:val="TableContents"/>
              <w:widowControl w:val="false"/>
              <w:suppressLineNumbers/>
              <w:bidi w:val="0"/>
              <w:jc w:val="start"/>
              <w:rPr/>
            </w:pPr>
            <w:r>
              <w:rPr/>
              <w:t>Virtual Campus</w:t>
            </w:r>
          </w:p>
        </w:tc>
        <w:tc>
          <w:tcPr>
            <w:tcW w:w="1130" w:type="dxa"/>
            <w:tcBorders/>
            <w:vAlign w:val="center"/>
          </w:tcPr>
          <w:p>
            <w:pPr>
              <w:pStyle w:val="TableContents"/>
              <w:widowControl w:val="false"/>
              <w:suppressLineNumbers/>
              <w:bidi w:val="0"/>
              <w:jc w:val="start"/>
              <w:rPr/>
            </w:pPr>
            <w:r>
              <w:rPr/>
              <w:t>24–28 Aug 2026</w:t>
            </w:r>
          </w:p>
        </w:tc>
        <w:tc>
          <w:tcPr>
            <w:tcW w:w="4663" w:type="dxa"/>
            <w:tcBorders/>
            <w:vAlign w:val="center"/>
          </w:tcPr>
          <w:p>
            <w:pPr>
              <w:pStyle w:val="TableContents"/>
              <w:widowControl w:val="false"/>
              <w:suppressLineNumbers/>
              <w:bidi w:val="0"/>
              <w:jc w:val="start"/>
              <w:rPr/>
            </w:pPr>
            <w:r>
              <w:rPr/>
              <w:t>Verified progress, assignments, lecturer authoring, video lessons, live-class controls, captions/fallback UI and a local LiveKit rehearsal were completed</w:t>
            </w:r>
          </w:p>
        </w:tc>
        <w:tc>
          <w:tcPr>
            <w:tcW w:w="2643" w:type="dxa"/>
            <w:tcBorders/>
            <w:vAlign w:val="center"/>
          </w:tcPr>
          <w:p>
            <w:pPr>
              <w:pStyle w:val="TableContents"/>
              <w:widowControl w:val="false"/>
              <w:suppressLineNumbers/>
              <w:bidi w:val="0"/>
              <w:jc w:val="start"/>
              <w:rPr/>
            </w:pPr>
            <w:r>
              <w:rPr/>
              <w:t>Run the temporary hosted human rehearsal, then record an approved cohort pilot separately</w:t>
            </w:r>
          </w:p>
        </w:tc>
      </w:tr>
      <w:tr>
        <w:trPr/>
        <w:tc>
          <w:tcPr>
            <w:tcW w:w="1430" w:type="dxa"/>
            <w:tcBorders/>
            <w:vAlign w:val="center"/>
          </w:tcPr>
          <w:p>
            <w:pPr>
              <w:pStyle w:val="TableContents"/>
              <w:widowControl w:val="false"/>
              <w:suppressLineNumbers/>
              <w:bidi w:val="0"/>
              <w:jc w:val="start"/>
              <w:rPr/>
            </w:pPr>
            <w:r>
              <w:rPr/>
              <w:t>Smart Lecturer</w:t>
            </w:r>
          </w:p>
        </w:tc>
        <w:tc>
          <w:tcPr>
            <w:tcW w:w="1130" w:type="dxa"/>
            <w:tcBorders/>
            <w:vAlign w:val="center"/>
          </w:tcPr>
          <w:p>
            <w:pPr>
              <w:pStyle w:val="TableContents"/>
              <w:widowControl w:val="false"/>
              <w:suppressLineNumbers/>
              <w:bidi w:val="0"/>
              <w:jc w:val="start"/>
              <w:rPr/>
            </w:pPr>
            <w:r>
              <w:rPr/>
              <w:t>24–28 Aug 2026</w:t>
            </w:r>
          </w:p>
        </w:tc>
        <w:tc>
          <w:tcPr>
            <w:tcW w:w="4663" w:type="dxa"/>
            <w:tcBorders/>
            <w:vAlign w:val="center"/>
          </w:tcPr>
          <w:p>
            <w:pPr>
              <w:pStyle w:val="TableContents"/>
              <w:widowControl w:val="false"/>
              <w:suppressLineNumbers/>
              <w:bidi w:val="0"/>
              <w:jc w:val="start"/>
              <w:rPr/>
            </w:pPr>
            <w:r>
              <w:rPr/>
              <w:t>Curated-source, speech, caption and escalation-boundary prototype work was documented and locally demonstrated</w:t>
            </w:r>
          </w:p>
        </w:tc>
        <w:tc>
          <w:tcPr>
            <w:tcW w:w="2643" w:type="dxa"/>
            <w:tcBorders/>
            <w:vAlign w:val="center"/>
          </w:tcPr>
          <w:p>
            <w:pPr>
              <w:pStyle w:val="TableContents"/>
              <w:widowControl w:val="false"/>
              <w:suppressLineNumbers/>
              <w:bidi w:val="0"/>
              <w:jc w:val="start"/>
              <w:rPr/>
            </w:pPr>
            <w:r>
              <w:rPr/>
              <w:t>Conduct the supervised learner review against approved content</w:t>
            </w:r>
          </w:p>
        </w:tc>
      </w:tr>
      <w:tr>
        <w:trPr/>
        <w:tc>
          <w:tcPr>
            <w:tcW w:w="1430" w:type="dxa"/>
            <w:tcBorders/>
            <w:vAlign w:val="center"/>
          </w:tcPr>
          <w:p>
            <w:pPr>
              <w:pStyle w:val="TableContents"/>
              <w:widowControl w:val="false"/>
              <w:suppressLineNumbers/>
              <w:bidi w:val="0"/>
              <w:jc w:val="start"/>
              <w:rPr/>
            </w:pPr>
            <w:r>
              <w:rPr/>
              <w:t>Report System</w:t>
            </w:r>
          </w:p>
        </w:tc>
        <w:tc>
          <w:tcPr>
            <w:tcW w:w="1130" w:type="dxa"/>
            <w:tcBorders/>
            <w:vAlign w:val="center"/>
          </w:tcPr>
          <w:p>
            <w:pPr>
              <w:pStyle w:val="TableContents"/>
              <w:widowControl w:val="false"/>
              <w:suppressLineNumbers/>
              <w:bidi w:val="0"/>
              <w:jc w:val="start"/>
              <w:rPr/>
            </w:pPr>
            <w:r>
              <w:rPr/>
              <w:t>28–31 Aug 2026</w:t>
            </w:r>
          </w:p>
        </w:tc>
        <w:tc>
          <w:tcPr>
            <w:tcW w:w="4663" w:type="dxa"/>
            <w:tcBorders/>
            <w:vAlign w:val="center"/>
          </w:tcPr>
          <w:p>
            <w:pPr>
              <w:pStyle w:val="TableContents"/>
              <w:widowControl w:val="false"/>
              <w:suppressLineNumbers/>
              <w:bidi w:val="0"/>
              <w:jc w:val="start"/>
              <w:rPr/>
            </w:pPr>
            <w:r>
              <w:rPr/>
              <w:t>Intake, meeting actions, unlock workflow, reporting exports/reminders, OKRs and approval-gated Wingu queue were implemented locally</w:t>
            </w:r>
          </w:p>
        </w:tc>
        <w:tc>
          <w:tcPr>
            <w:tcW w:w="2643" w:type="dxa"/>
            <w:tcBorders/>
            <w:vAlign w:val="center"/>
          </w:tcPr>
          <w:p>
            <w:pPr>
              <w:pStyle w:val="TableContents"/>
              <w:widowControl w:val="false"/>
              <w:suppressLineNumbers/>
              <w:bidi w:val="0"/>
              <w:jc w:val="start"/>
              <w:rPr/>
            </w:pPr>
            <w:r>
              <w:rPr/>
              <w:t>Assign named OKR owners and capture the first full reporting month</w:t>
            </w:r>
          </w:p>
        </w:tc>
      </w:tr>
      <w:tr>
        <w:trPr/>
        <w:tc>
          <w:tcPr>
            <w:tcW w:w="1430" w:type="dxa"/>
            <w:tcBorders/>
            <w:vAlign w:val="center"/>
          </w:tcPr>
          <w:p>
            <w:pPr>
              <w:pStyle w:val="TableContents"/>
              <w:widowControl w:val="false"/>
              <w:suppressLineNumbers/>
              <w:bidi w:val="0"/>
              <w:jc w:val="start"/>
              <w:rPr/>
            </w:pPr>
            <w:r>
              <w:rPr/>
              <w:t>Security and recovery</w:t>
            </w:r>
          </w:p>
        </w:tc>
        <w:tc>
          <w:tcPr>
            <w:tcW w:w="1130" w:type="dxa"/>
            <w:tcBorders/>
            <w:vAlign w:val="center"/>
          </w:tcPr>
          <w:p>
            <w:pPr>
              <w:pStyle w:val="TableContents"/>
              <w:widowControl w:val="false"/>
              <w:suppressLineNumbers/>
              <w:bidi w:val="0"/>
              <w:jc w:val="start"/>
              <w:rPr/>
            </w:pPr>
            <w:r>
              <w:rPr/>
              <w:t>20–31 Aug 2026</w:t>
            </w:r>
          </w:p>
        </w:tc>
        <w:tc>
          <w:tcPr>
            <w:tcW w:w="4663" w:type="dxa"/>
            <w:tcBorders/>
            <w:vAlign w:val="center"/>
          </w:tcPr>
          <w:p>
            <w:pPr>
              <w:pStyle w:val="TableContents"/>
              <w:widowControl w:val="false"/>
              <w:suppressLineNumbers/>
              <w:bidi w:val="0"/>
              <w:jc w:val="start"/>
              <w:rPr/>
            </w:pPr>
            <w:r>
              <w:rPr/>
              <w:t>WordPress incident was contained, scan evidence recorded, secrets kept outside Git and repeatable deployment procedures documented</w:t>
            </w:r>
          </w:p>
        </w:tc>
        <w:tc>
          <w:tcPr>
            <w:tcW w:w="2643" w:type="dxa"/>
            <w:tcBorders/>
            <w:vAlign w:val="center"/>
          </w:tcPr>
          <w:p>
            <w:pPr>
              <w:pStyle w:val="TableContents"/>
              <w:widowControl w:val="false"/>
              <w:suppressLineNumbers/>
              <w:bidi w:val="0"/>
              <w:jc w:val="start"/>
              <w:rPr/>
            </w:pPr>
            <w:r>
              <w:rPr/>
              <w:t>Complete and record the first quarterly access and restore reviews</w:t>
            </w:r>
          </w:p>
        </w:tc>
      </w:tr>
      <w:tr>
        <w:trPr/>
        <w:tc>
          <w:tcPr>
            <w:tcW w:w="1430" w:type="dxa"/>
            <w:tcBorders/>
            <w:vAlign w:val="center"/>
          </w:tcPr>
          <w:p>
            <w:pPr>
              <w:pStyle w:val="TableContents"/>
              <w:widowControl w:val="false"/>
              <w:suppressLineNumbers/>
              <w:bidi w:val="0"/>
              <w:jc w:val="start"/>
              <w:rPr/>
            </w:pPr>
            <w:r>
              <w:rPr/>
              <w:t>Brand and posters</w:t>
            </w:r>
          </w:p>
        </w:tc>
        <w:tc>
          <w:tcPr>
            <w:tcW w:w="1130" w:type="dxa"/>
            <w:tcBorders/>
            <w:vAlign w:val="center"/>
          </w:tcPr>
          <w:p>
            <w:pPr>
              <w:pStyle w:val="TableContents"/>
              <w:widowControl w:val="false"/>
              <w:suppressLineNumbers/>
              <w:bidi w:val="0"/>
              <w:jc w:val="start"/>
              <w:rPr/>
            </w:pPr>
            <w:r>
              <w:rPr/>
              <w:t>28–31 Aug 2026</w:t>
            </w:r>
          </w:p>
        </w:tc>
        <w:tc>
          <w:tcPr>
            <w:tcW w:w="4663" w:type="dxa"/>
            <w:tcBorders/>
            <w:vAlign w:val="center"/>
          </w:tcPr>
          <w:p>
            <w:pPr>
              <w:pStyle w:val="TableContents"/>
              <w:widowControl w:val="false"/>
              <w:suppressLineNumbers/>
              <w:bidi w:val="0"/>
              <w:jc w:val="start"/>
              <w:rPr/>
            </w:pPr>
            <w:r>
              <w:rPr/>
              <w:t>172 assets including 128 poster files and editable XCF sources were inventoried; brand registry and reusable handoff expectations were documented</w:t>
            </w:r>
          </w:p>
        </w:tc>
        <w:tc>
          <w:tcPr>
            <w:tcW w:w="2643" w:type="dxa"/>
            <w:tcBorders/>
            <w:vAlign w:val="center"/>
          </w:tcPr>
          <w:p>
            <w:pPr>
              <w:pStyle w:val="TableContents"/>
              <w:widowControl w:val="false"/>
              <w:suppressLineNumbers/>
              <w:bidi w:val="0"/>
              <w:jc w:val="start"/>
              <w:rPr/>
            </w:pPr>
            <w:r>
              <w:rPr/>
              <w:t>Approve the asset index owner and classify each asset as approved, archived or source-only</w:t>
            </w:r>
          </w:p>
        </w:tc>
      </w:tr>
      <w:tr>
        <w:trPr/>
        <w:tc>
          <w:tcPr>
            <w:tcW w:w="1430" w:type="dxa"/>
            <w:tcBorders/>
            <w:vAlign w:val="center"/>
          </w:tcPr>
          <w:p>
            <w:pPr>
              <w:pStyle w:val="TableContents"/>
              <w:widowControl w:val="false"/>
              <w:suppressLineNumbers/>
              <w:bidi w:val="0"/>
              <w:jc w:val="start"/>
              <w:rPr/>
            </w:pPr>
            <w:r>
              <w:rPr/>
              <w:t>Delivery governance</w:t>
            </w:r>
          </w:p>
        </w:tc>
        <w:tc>
          <w:tcPr>
            <w:tcW w:w="1130" w:type="dxa"/>
            <w:tcBorders/>
            <w:vAlign w:val="center"/>
          </w:tcPr>
          <w:p>
            <w:pPr>
              <w:pStyle w:val="TableContents"/>
              <w:widowControl w:val="false"/>
              <w:suppressLineNumbers/>
              <w:bidi w:val="0"/>
              <w:jc w:val="start"/>
              <w:rPr/>
            </w:pPr>
            <w:r>
              <w:rPr/>
              <w:t>20–31 Aug 2026</w:t>
            </w:r>
          </w:p>
        </w:tc>
        <w:tc>
          <w:tcPr>
            <w:tcW w:w="4663" w:type="dxa"/>
            <w:tcBorders/>
            <w:vAlign w:val="center"/>
          </w:tcPr>
          <w:p>
            <w:pPr>
              <w:pStyle w:val="TableContents"/>
              <w:widowControl w:val="false"/>
              <w:suppressLineNumbers/>
              <w:bidi w:val="0"/>
              <w:jc w:val="start"/>
              <w:rPr/>
            </w:pPr>
            <w:r>
              <w:rPr/>
              <w:t>Demo-first procedures, owner trackers, training material, status reports and non-browser deployment methods were documented across the portfolio</w:t>
            </w:r>
          </w:p>
        </w:tc>
        <w:tc>
          <w:tcPr>
            <w:tcW w:w="2643" w:type="dxa"/>
            <w:tcBorders/>
            <w:vAlign w:val="center"/>
          </w:tcPr>
          <w:p>
            <w:pPr>
              <w:pStyle w:val="TableContents"/>
              <w:widowControl w:val="false"/>
              <w:suppressLineNumbers/>
              <w:bidi w:val="0"/>
              <w:jc w:val="start"/>
              <w:rPr/>
            </w:pPr>
            <w:r>
              <w:rPr/>
              <w:t>Apply the release checklist to the next production change and review blockers monthly</w:t>
            </w:r>
          </w:p>
        </w:tc>
      </w:tr>
    </w:tbl>
    <w:p>
      <w:pPr>
        <w:pStyle w:val="Heading2"/>
        <w:bidi w:val="0"/>
        <w:jc w:val="start"/>
        <w:rPr/>
      </w:pPr>
      <w:r>
        <w:rPr/>
        <w:t>Objective 1 — Make the public website a trusted digital front door</w:t>
      </w:r>
    </w:p>
    <w:p>
      <w:pPr>
        <w:pStyle w:val="BodyText"/>
        <w:bidi w:val="0"/>
        <w:jc w:val="start"/>
        <w:rPr/>
      </w:pPr>
      <w:r>
        <w:rPr>
          <w:rStyle w:val="Strong"/>
        </w:rPr>
        <w:t>Outcome:</w:t>
      </w:r>
      <w:r>
        <w:rPr/>
        <w:t xml:space="preserve"> Prospective learners can find accurate course information, prices, stories and application paths quickly and confidently.</w:t>
      </w:r>
    </w:p>
    <w:tbl>
      <w:tblPr>
        <w:tblW w:w="9866" w:type="dxa"/>
        <w:jc w:val="start"/>
        <w:tblInd w:w="0" w:type="dxa"/>
        <w:tblLayout w:type="fixed"/>
        <w:tblCellMar>
          <w:top w:w="28" w:type="dxa"/>
          <w:start w:w="28" w:type="dxa"/>
          <w:bottom w:w="28" w:type="dxa"/>
          <w:end w:w="28" w:type="dxa"/>
        </w:tblCellMar>
      </w:tblPr>
      <w:tblGrid>
        <w:gridCol w:w="1665"/>
        <w:gridCol w:w="2504"/>
        <w:gridCol w:w="3034"/>
        <w:gridCol w:w="2663"/>
      </w:tblGrid>
      <w:tr>
        <w:trPr>
          <w:tblHeader w:val="true"/>
        </w:trPr>
        <w:tc>
          <w:tcPr>
            <w:tcW w:w="1665" w:type="dxa"/>
            <w:tcBorders/>
            <w:vAlign w:val="center"/>
          </w:tcPr>
          <w:p>
            <w:pPr>
              <w:pStyle w:val="TableHeading"/>
              <w:suppressLineNumbers/>
              <w:shd w:fill="33594B" w:val="clear"/>
              <w:bidi w:val="0"/>
              <w:jc w:val="start"/>
              <w:rPr/>
            </w:pPr>
            <w:r>
              <w:rPr/>
              <w:t>Key result</w:t>
            </w:r>
          </w:p>
        </w:tc>
        <w:tc>
          <w:tcPr>
            <w:tcW w:w="2504" w:type="dxa"/>
            <w:tcBorders/>
            <w:vAlign w:val="center"/>
          </w:tcPr>
          <w:p>
            <w:pPr>
              <w:pStyle w:val="TableHeading"/>
              <w:suppressLineNumbers/>
              <w:shd w:fill="33594B" w:val="clear"/>
              <w:bidi w:val="0"/>
              <w:jc w:val="start"/>
              <w:rPr/>
            </w:pPr>
            <w:r>
              <w:rPr/>
              <w:t>Baseline / evidence</w:t>
            </w:r>
          </w:p>
        </w:tc>
        <w:tc>
          <w:tcPr>
            <w:tcW w:w="3034" w:type="dxa"/>
            <w:tcBorders/>
            <w:vAlign w:val="center"/>
          </w:tcPr>
          <w:p>
            <w:pPr>
              <w:pStyle w:val="TableHeading"/>
              <w:suppressLineNumbers/>
              <w:shd w:fill="33594B" w:val="clear"/>
              <w:bidi w:val="0"/>
              <w:jc w:val="start"/>
              <w:rPr/>
            </w:pPr>
            <w:r>
              <w:rPr/>
              <w:t>Target by July 2027</w:t>
            </w:r>
          </w:p>
        </w:tc>
        <w:tc>
          <w:tcPr>
            <w:tcW w:w="2663" w:type="dxa"/>
            <w:tcBorders/>
            <w:vAlign w:val="center"/>
          </w:tcPr>
          <w:p>
            <w:pPr>
              <w:pStyle w:val="TableHeading"/>
              <w:suppressLineNumbers/>
              <w:shd w:fill="33594B" w:val="clear"/>
              <w:bidi w:val="0"/>
              <w:jc w:val="start"/>
              <w:rPr/>
            </w:pPr>
            <w:r>
              <w:rPr/>
              <w:t>Owner / decision</w:t>
            </w:r>
          </w:p>
        </w:tc>
      </w:tr>
      <w:tr>
        <w:trPr/>
        <w:tc>
          <w:tcPr>
            <w:tcW w:w="1665" w:type="dxa"/>
            <w:tcBorders/>
            <w:vAlign w:val="center"/>
          </w:tcPr>
          <w:p>
            <w:pPr>
              <w:pStyle w:val="TableContents"/>
              <w:widowControl w:val="false"/>
              <w:suppressLineNumbers/>
              <w:bidi w:val="0"/>
              <w:jc w:val="start"/>
              <w:rPr/>
            </w:pPr>
            <w:r>
              <w:rPr/>
              <w:t>Availability of priority public pages</w:t>
            </w:r>
          </w:p>
        </w:tc>
        <w:tc>
          <w:tcPr>
            <w:tcW w:w="2504" w:type="dxa"/>
            <w:tcBorders/>
            <w:vAlign w:val="center"/>
          </w:tcPr>
          <w:p>
            <w:pPr>
              <w:pStyle w:val="TableContents"/>
              <w:widowControl w:val="false"/>
              <w:suppressLineNumbers/>
              <w:bidi w:val="0"/>
              <w:jc w:val="start"/>
              <w:rPr/>
            </w:pPr>
            <w:r>
              <w:rPr/>
              <w:t>20 Aug: release route checks passed; no monthly SLO history yet</w:t>
            </w:r>
          </w:p>
        </w:tc>
        <w:tc>
          <w:tcPr>
            <w:tcW w:w="3034" w:type="dxa"/>
            <w:tcBorders/>
            <w:vAlign w:val="center"/>
          </w:tcPr>
          <w:p>
            <w:pPr>
              <w:pStyle w:val="TableContents"/>
              <w:widowControl w:val="false"/>
              <w:suppressLineNumbers/>
              <w:bidi w:val="0"/>
              <w:jc w:val="start"/>
              <w:rPr/>
            </w:pPr>
            <w:r>
              <w:rPr/>
              <w:t>≥</w:t>
            </w:r>
            <w:r>
              <w:rPr/>
              <w:t>99.5% monthly availability, with every high-priority route checked after release</w:t>
            </w:r>
          </w:p>
        </w:tc>
        <w:tc>
          <w:tcPr>
            <w:tcW w:w="2663" w:type="dxa"/>
            <w:tcBorders/>
            <w:vAlign w:val="center"/>
          </w:tcPr>
          <w:p>
            <w:pPr>
              <w:pStyle w:val="TableContents"/>
              <w:widowControl w:val="false"/>
              <w:suppressLineNumbers/>
              <w:bidi w:val="0"/>
              <w:jc w:val="start"/>
              <w:rPr/>
            </w:pPr>
            <w:r>
              <w:rPr/>
              <w:t>ICT + Communications; name monitoring owner and confirm page list</w:t>
            </w:r>
          </w:p>
        </w:tc>
      </w:tr>
      <w:tr>
        <w:trPr/>
        <w:tc>
          <w:tcPr>
            <w:tcW w:w="1665" w:type="dxa"/>
            <w:tcBorders/>
            <w:vAlign w:val="center"/>
          </w:tcPr>
          <w:p>
            <w:pPr>
              <w:pStyle w:val="TableContents"/>
              <w:widowControl w:val="false"/>
              <w:suppressLineNumbers/>
              <w:bidi w:val="0"/>
              <w:jc w:val="start"/>
              <w:rPr/>
            </w:pPr>
            <w:r>
              <w:rPr/>
              <w:t>Course and price accuracy</w:t>
            </w:r>
          </w:p>
        </w:tc>
        <w:tc>
          <w:tcPr>
            <w:tcW w:w="2504" w:type="dxa"/>
            <w:tcBorders/>
            <w:vAlign w:val="center"/>
          </w:tcPr>
          <w:p>
            <w:pPr>
              <w:pStyle w:val="TableContents"/>
              <w:widowControl w:val="false"/>
              <w:suppressLineNumbers/>
              <w:bidi w:val="0"/>
              <w:jc w:val="start"/>
              <w:rPr/>
            </w:pPr>
            <w:r>
              <w:rPr/>
              <w:t>24 Aug: approved 2026 catalogue was reconciled and the controlled pricing switch implemented</w:t>
            </w:r>
          </w:p>
        </w:tc>
        <w:tc>
          <w:tcPr>
            <w:tcW w:w="3034" w:type="dxa"/>
            <w:tcBorders/>
            <w:vAlign w:val="center"/>
          </w:tcPr>
          <w:p>
            <w:pPr>
              <w:pStyle w:val="TableContents"/>
              <w:widowControl w:val="false"/>
              <w:suppressLineNumbers/>
              <w:bidi w:val="0"/>
              <w:jc w:val="start"/>
              <w:rPr/>
            </w:pPr>
            <w:r>
              <w:rPr/>
              <w:t>100% of public course/price entries reconciled to the approved catalogue each release</w:t>
            </w:r>
          </w:p>
        </w:tc>
        <w:tc>
          <w:tcPr>
            <w:tcW w:w="2663" w:type="dxa"/>
            <w:tcBorders/>
            <w:vAlign w:val="center"/>
          </w:tcPr>
          <w:p>
            <w:pPr>
              <w:pStyle w:val="TableContents"/>
              <w:widowControl w:val="false"/>
              <w:suppressLineNumbers/>
              <w:bidi w:val="0"/>
              <w:jc w:val="start"/>
              <w:rPr/>
            </w:pPr>
            <w:r>
              <w:rPr/>
              <w:t>Admissions + Finance; name sign-off owner</w:t>
            </w:r>
          </w:p>
        </w:tc>
      </w:tr>
      <w:tr>
        <w:trPr/>
        <w:tc>
          <w:tcPr>
            <w:tcW w:w="1665" w:type="dxa"/>
            <w:tcBorders/>
            <w:vAlign w:val="center"/>
          </w:tcPr>
          <w:p>
            <w:pPr>
              <w:pStyle w:val="TableContents"/>
              <w:widowControl w:val="false"/>
              <w:suppressLineNumbers/>
              <w:bidi w:val="0"/>
              <w:jc w:val="start"/>
              <w:rPr/>
            </w:pPr>
            <w:r>
              <w:rPr/>
              <w:t>Application journey reliability</w:t>
            </w:r>
          </w:p>
        </w:tc>
        <w:tc>
          <w:tcPr>
            <w:tcW w:w="2504" w:type="dxa"/>
            <w:tcBorders/>
            <w:vAlign w:val="center"/>
          </w:tcPr>
          <w:p>
            <w:pPr>
              <w:pStyle w:val="TableContents"/>
              <w:widowControl w:val="false"/>
              <w:suppressLineNumbers/>
              <w:bidi w:val="0"/>
              <w:jc w:val="start"/>
              <w:rPr/>
            </w:pPr>
            <w:r>
              <w:rPr/>
              <w:t>20–24 Aug: website-to-Reception relay and applicant encryption were implemented and verified</w:t>
            </w:r>
          </w:p>
        </w:tc>
        <w:tc>
          <w:tcPr>
            <w:tcW w:w="3034" w:type="dxa"/>
            <w:tcBorders/>
            <w:vAlign w:val="center"/>
          </w:tcPr>
          <w:p>
            <w:pPr>
              <w:pStyle w:val="TableContents"/>
              <w:widowControl w:val="false"/>
              <w:suppressLineNumbers/>
              <w:bidi w:val="0"/>
              <w:jc w:val="start"/>
              <w:rPr/>
            </w:pPr>
            <w:r>
              <w:rPr/>
              <w:t>≥</w:t>
            </w:r>
            <w:r>
              <w:rPr/>
              <w:t>98% of valid demo submissions reach the authorised destination; production mail remains fail-closed until authenticated delivery is approved</w:t>
            </w:r>
          </w:p>
        </w:tc>
        <w:tc>
          <w:tcPr>
            <w:tcW w:w="2663" w:type="dxa"/>
            <w:tcBorders/>
            <w:vAlign w:val="center"/>
          </w:tcPr>
          <w:p>
            <w:pPr>
              <w:pStyle w:val="TableContents"/>
              <w:widowControl w:val="false"/>
              <w:suppressLineNumbers/>
              <w:bidi w:val="0"/>
              <w:jc w:val="start"/>
              <w:rPr/>
            </w:pPr>
            <w:r>
              <w:rPr/>
              <w:t>ICT + Admissions; approve mail provider</w:t>
            </w:r>
          </w:p>
        </w:tc>
      </w:tr>
      <w:tr>
        <w:trPr/>
        <w:tc>
          <w:tcPr>
            <w:tcW w:w="1665" w:type="dxa"/>
            <w:tcBorders/>
            <w:vAlign w:val="center"/>
          </w:tcPr>
          <w:p>
            <w:pPr>
              <w:pStyle w:val="TableContents"/>
              <w:widowControl w:val="false"/>
              <w:suppressLineNumbers/>
              <w:bidi w:val="0"/>
              <w:jc w:val="start"/>
              <w:rPr/>
            </w:pPr>
            <w:r>
              <w:rPr/>
              <w:t>Security maintenance</w:t>
            </w:r>
          </w:p>
        </w:tc>
        <w:tc>
          <w:tcPr>
            <w:tcW w:w="2504" w:type="dxa"/>
            <w:tcBorders/>
            <w:vAlign w:val="center"/>
          </w:tcPr>
          <w:p>
            <w:pPr>
              <w:pStyle w:val="TableContents"/>
              <w:widowControl w:val="false"/>
              <w:suppressLineNumbers/>
              <w:bidi w:val="0"/>
              <w:jc w:val="start"/>
              <w:rPr/>
            </w:pPr>
            <w:r>
              <w:rPr/>
              <w:t>20 Aug: Element Pack Lite incident contained and scan recorded; patched Eduma release remains open</w:t>
            </w:r>
          </w:p>
        </w:tc>
        <w:tc>
          <w:tcPr>
            <w:tcW w:w="3034" w:type="dxa"/>
            <w:tcBorders/>
            <w:vAlign w:val="center"/>
          </w:tcPr>
          <w:p>
            <w:pPr>
              <w:pStyle w:val="TableContents"/>
              <w:widowControl w:val="false"/>
              <w:suppressLineNumbers/>
              <w:bidi w:val="0"/>
              <w:jc w:val="start"/>
              <w:rPr/>
            </w:pPr>
            <w:r>
              <w:rPr/>
              <w:t>Patched theme deployed through demo-first review; zero known critical/high findings after each release</w:t>
            </w:r>
          </w:p>
        </w:tc>
        <w:tc>
          <w:tcPr>
            <w:tcW w:w="2663" w:type="dxa"/>
            <w:tcBorders/>
            <w:vAlign w:val="center"/>
          </w:tcPr>
          <w:p>
            <w:pPr>
              <w:pStyle w:val="TableContents"/>
              <w:widowControl w:val="false"/>
              <w:suppressLineNumbers/>
              <w:bidi w:val="0"/>
              <w:jc w:val="start"/>
              <w:rPr/>
            </w:pPr>
            <w:r>
              <w:rPr/>
              <w:t>ICT; approve maintenance window</w:t>
            </w:r>
          </w:p>
        </w:tc>
      </w:tr>
    </w:tbl>
    <w:p>
      <w:pPr>
        <w:pStyle w:val="Heading2"/>
        <w:bidi w:val="0"/>
        <w:jc w:val="start"/>
        <w:rPr/>
      </w:pPr>
      <w:r>
        <w:rPr/>
        <w:t>Objective 2 — Replace paper-first reception with a consistent, secure welcome</w:t>
      </w:r>
    </w:p>
    <w:p>
      <w:pPr>
        <w:pStyle w:val="BodyText"/>
        <w:bidi w:val="0"/>
        <w:jc w:val="start"/>
        <w:rPr/>
      </w:pPr>
      <w:r>
        <w:rPr>
          <w:rStyle w:val="Strong"/>
        </w:rPr>
        <w:t>Outcome:</w:t>
      </w:r>
      <w:r>
        <w:rPr/>
        <w:t xml:space="preserve"> Visitors and applicants complete a guided check-in while staff retain accurate records without manual filing.</w:t>
      </w:r>
    </w:p>
    <w:tbl>
      <w:tblPr>
        <w:tblW w:w="9866" w:type="dxa"/>
        <w:jc w:val="start"/>
        <w:tblInd w:w="0" w:type="dxa"/>
        <w:tblLayout w:type="fixed"/>
        <w:tblCellMar>
          <w:top w:w="28" w:type="dxa"/>
          <w:start w:w="28" w:type="dxa"/>
          <w:bottom w:w="28" w:type="dxa"/>
          <w:end w:w="28" w:type="dxa"/>
        </w:tblCellMar>
      </w:tblPr>
      <w:tblGrid>
        <w:gridCol w:w="1892"/>
        <w:gridCol w:w="2555"/>
        <w:gridCol w:w="2781"/>
        <w:gridCol w:w="2638"/>
      </w:tblGrid>
      <w:tr>
        <w:trPr>
          <w:tblHeader w:val="true"/>
        </w:trPr>
        <w:tc>
          <w:tcPr>
            <w:tcW w:w="1892" w:type="dxa"/>
            <w:tcBorders/>
            <w:vAlign w:val="center"/>
          </w:tcPr>
          <w:p>
            <w:pPr>
              <w:pStyle w:val="TableHeading"/>
              <w:suppressLineNumbers/>
              <w:shd w:fill="33594B" w:val="clear"/>
              <w:bidi w:val="0"/>
              <w:jc w:val="start"/>
              <w:rPr/>
            </w:pPr>
            <w:r>
              <w:rPr/>
              <w:t>Key result</w:t>
            </w:r>
          </w:p>
        </w:tc>
        <w:tc>
          <w:tcPr>
            <w:tcW w:w="2555" w:type="dxa"/>
            <w:tcBorders/>
            <w:vAlign w:val="center"/>
          </w:tcPr>
          <w:p>
            <w:pPr>
              <w:pStyle w:val="TableHeading"/>
              <w:suppressLineNumbers/>
              <w:shd w:fill="33594B" w:val="clear"/>
              <w:bidi w:val="0"/>
              <w:jc w:val="start"/>
              <w:rPr/>
            </w:pPr>
            <w:r>
              <w:rPr/>
              <w:t>Baseline / evidence</w:t>
            </w:r>
          </w:p>
        </w:tc>
        <w:tc>
          <w:tcPr>
            <w:tcW w:w="2781" w:type="dxa"/>
            <w:tcBorders/>
            <w:vAlign w:val="center"/>
          </w:tcPr>
          <w:p>
            <w:pPr>
              <w:pStyle w:val="TableHeading"/>
              <w:suppressLineNumbers/>
              <w:shd w:fill="33594B" w:val="clear"/>
              <w:bidi w:val="0"/>
              <w:jc w:val="start"/>
              <w:rPr/>
            </w:pPr>
            <w:r>
              <w:rPr/>
              <w:t>Target by July 2027</w:t>
            </w:r>
          </w:p>
        </w:tc>
        <w:tc>
          <w:tcPr>
            <w:tcW w:w="2638" w:type="dxa"/>
            <w:tcBorders/>
            <w:vAlign w:val="center"/>
          </w:tcPr>
          <w:p>
            <w:pPr>
              <w:pStyle w:val="TableHeading"/>
              <w:suppressLineNumbers/>
              <w:shd w:fill="33594B" w:val="clear"/>
              <w:bidi w:val="0"/>
              <w:jc w:val="start"/>
              <w:rPr/>
            </w:pPr>
            <w:r>
              <w:rPr/>
              <w:t>Owner / decision</w:t>
            </w:r>
          </w:p>
        </w:tc>
      </w:tr>
      <w:tr>
        <w:trPr/>
        <w:tc>
          <w:tcPr>
            <w:tcW w:w="1892" w:type="dxa"/>
            <w:tcBorders/>
            <w:vAlign w:val="center"/>
          </w:tcPr>
          <w:p>
            <w:pPr>
              <w:pStyle w:val="TableContents"/>
              <w:widowControl w:val="false"/>
              <w:suppressLineNumbers/>
              <w:bidi w:val="0"/>
              <w:jc w:val="start"/>
              <w:rPr/>
            </w:pPr>
            <w:r>
              <w:rPr/>
              <w:t>Digital registration coverage</w:t>
            </w:r>
          </w:p>
        </w:tc>
        <w:tc>
          <w:tcPr>
            <w:tcW w:w="2555" w:type="dxa"/>
            <w:tcBorders/>
            <w:vAlign w:val="center"/>
          </w:tcPr>
          <w:p>
            <w:pPr>
              <w:pStyle w:val="TableContents"/>
              <w:widowControl w:val="false"/>
              <w:suppressLineNumbers/>
              <w:bidi w:val="0"/>
              <w:jc w:val="start"/>
              <w:rPr/>
            </w:pPr>
            <w:r>
              <w:rPr/>
              <w:t>QR modes, autosave drafts and completion attribution are implemented</w:t>
            </w:r>
          </w:p>
        </w:tc>
        <w:tc>
          <w:tcPr>
            <w:tcW w:w="2781" w:type="dxa"/>
            <w:tcBorders/>
            <w:vAlign w:val="center"/>
          </w:tcPr>
          <w:p>
            <w:pPr>
              <w:pStyle w:val="TableContents"/>
              <w:widowControl w:val="false"/>
              <w:suppressLineNumbers/>
              <w:bidi w:val="0"/>
              <w:jc w:val="start"/>
              <w:rPr/>
            </w:pPr>
            <w:r>
              <w:rPr/>
              <w:t>≥</w:t>
            </w:r>
            <w:r>
              <w:rPr/>
              <w:t>90% of eligible on-site registrations captured digitally, measured monthly</w:t>
            </w:r>
          </w:p>
        </w:tc>
        <w:tc>
          <w:tcPr>
            <w:tcW w:w="2638" w:type="dxa"/>
            <w:tcBorders/>
            <w:vAlign w:val="center"/>
          </w:tcPr>
          <w:p>
            <w:pPr>
              <w:pStyle w:val="TableContents"/>
              <w:widowControl w:val="false"/>
              <w:suppressLineNumbers/>
              <w:bidi w:val="0"/>
              <w:jc w:val="start"/>
              <w:rPr/>
            </w:pPr>
            <w:r>
              <w:rPr/>
              <w:t>Reception lead; confirm eligible-visit denominator</w:t>
            </w:r>
          </w:p>
        </w:tc>
      </w:tr>
      <w:tr>
        <w:trPr/>
        <w:tc>
          <w:tcPr>
            <w:tcW w:w="1892" w:type="dxa"/>
            <w:tcBorders/>
            <w:vAlign w:val="center"/>
          </w:tcPr>
          <w:p>
            <w:pPr>
              <w:pStyle w:val="TableContents"/>
              <w:widowControl w:val="false"/>
              <w:suppressLineNumbers/>
              <w:bidi w:val="0"/>
              <w:jc w:val="start"/>
              <w:rPr/>
            </w:pPr>
            <w:r>
              <w:rPr/>
              <w:t>Data completeness</w:t>
            </w:r>
          </w:p>
        </w:tc>
        <w:tc>
          <w:tcPr>
            <w:tcW w:w="2555" w:type="dxa"/>
            <w:tcBorders/>
            <w:vAlign w:val="center"/>
          </w:tcPr>
          <w:p>
            <w:pPr>
              <w:pStyle w:val="TableContents"/>
              <w:widowControl w:val="false"/>
              <w:suppressLineNumbers/>
              <w:bidi w:val="0"/>
              <w:jc w:val="start"/>
              <w:rPr/>
            </w:pPr>
            <w:r>
              <w:rPr/>
              <w:t xml:space="preserve">Required fields and </w:t>
            </w:r>
            <w:r>
              <w:rPr>
                <w:rStyle w:val="SourceText"/>
              </w:rPr>
              <w:t>Other</w:t>
            </w:r>
            <w:r>
              <w:rPr/>
              <w:t xml:space="preserve"> explanation are enforced</w:t>
            </w:r>
          </w:p>
        </w:tc>
        <w:tc>
          <w:tcPr>
            <w:tcW w:w="2781" w:type="dxa"/>
            <w:tcBorders/>
            <w:vAlign w:val="center"/>
          </w:tcPr>
          <w:p>
            <w:pPr>
              <w:pStyle w:val="TableContents"/>
              <w:widowControl w:val="false"/>
              <w:suppressLineNumbers/>
              <w:bidi w:val="0"/>
              <w:jc w:val="start"/>
              <w:rPr/>
            </w:pPr>
            <w:r>
              <w:rPr/>
              <w:t>≥</w:t>
            </w:r>
            <w:r>
              <w:rPr/>
              <w:t>95% of completed records contain all required contact/course fields</w:t>
            </w:r>
          </w:p>
        </w:tc>
        <w:tc>
          <w:tcPr>
            <w:tcW w:w="2638" w:type="dxa"/>
            <w:tcBorders/>
            <w:vAlign w:val="center"/>
          </w:tcPr>
          <w:p>
            <w:pPr>
              <w:pStyle w:val="TableContents"/>
              <w:widowControl w:val="false"/>
              <w:suppressLineNumbers/>
              <w:bidi w:val="0"/>
              <w:jc w:val="start"/>
              <w:rPr/>
            </w:pPr>
            <w:r>
              <w:rPr/>
              <w:t>Reception lead</w:t>
            </w:r>
          </w:p>
        </w:tc>
      </w:tr>
      <w:tr>
        <w:trPr/>
        <w:tc>
          <w:tcPr>
            <w:tcW w:w="1892" w:type="dxa"/>
            <w:tcBorders/>
            <w:vAlign w:val="center"/>
          </w:tcPr>
          <w:p>
            <w:pPr>
              <w:pStyle w:val="TableContents"/>
              <w:widowControl w:val="false"/>
              <w:suppressLineNumbers/>
              <w:bidi w:val="0"/>
              <w:jc w:val="start"/>
              <w:rPr/>
            </w:pPr>
            <w:r>
              <w:rPr/>
              <w:t>Follow-up responsiveness</w:t>
            </w:r>
          </w:p>
        </w:tc>
        <w:tc>
          <w:tcPr>
            <w:tcW w:w="2555" w:type="dxa"/>
            <w:tcBorders/>
            <w:vAlign w:val="center"/>
          </w:tcPr>
          <w:p>
            <w:pPr>
              <w:pStyle w:val="TableContents"/>
              <w:widowControl w:val="false"/>
              <w:suppressLineNumbers/>
              <w:bidi w:val="0"/>
              <w:jc w:val="start"/>
              <w:rPr/>
            </w:pPr>
            <w:r>
              <w:rPr/>
              <w:t>Staff records and exports exist; WhatsApp delivery is not enabled</w:t>
            </w:r>
          </w:p>
        </w:tc>
        <w:tc>
          <w:tcPr>
            <w:tcW w:w="2781" w:type="dxa"/>
            <w:tcBorders/>
            <w:vAlign w:val="center"/>
          </w:tcPr>
          <w:p>
            <w:pPr>
              <w:pStyle w:val="TableContents"/>
              <w:widowControl w:val="false"/>
              <w:suppressLineNumbers/>
              <w:bidi w:val="0"/>
              <w:jc w:val="start"/>
              <w:rPr/>
            </w:pPr>
            <w:r>
              <w:rPr/>
              <w:t>90% of records requiring follow-up have a logged outcome within two working days</w:t>
            </w:r>
          </w:p>
        </w:tc>
        <w:tc>
          <w:tcPr>
            <w:tcW w:w="2638" w:type="dxa"/>
            <w:tcBorders/>
            <w:vAlign w:val="center"/>
          </w:tcPr>
          <w:p>
            <w:pPr>
              <w:pStyle w:val="TableContents"/>
              <w:widowControl w:val="false"/>
              <w:suppressLineNumbers/>
              <w:bidi w:val="0"/>
              <w:jc w:val="start"/>
              <w:rPr/>
            </w:pPr>
            <w:r>
              <w:rPr/>
              <w:t>Reception + Admissions; approve WhatsApp owner/template</w:t>
            </w:r>
          </w:p>
        </w:tc>
      </w:tr>
      <w:tr>
        <w:trPr/>
        <w:tc>
          <w:tcPr>
            <w:tcW w:w="1892" w:type="dxa"/>
            <w:tcBorders/>
            <w:vAlign w:val="center"/>
          </w:tcPr>
          <w:p>
            <w:pPr>
              <w:pStyle w:val="TableContents"/>
              <w:widowControl w:val="false"/>
              <w:suppressLineNumbers/>
              <w:bidi w:val="0"/>
              <w:jc w:val="start"/>
              <w:rPr/>
            </w:pPr>
            <w:r>
              <w:rPr/>
              <w:t>Privacy and access</w:t>
            </w:r>
          </w:p>
        </w:tc>
        <w:tc>
          <w:tcPr>
            <w:tcW w:w="2555" w:type="dxa"/>
            <w:tcBorders/>
            <w:vAlign w:val="center"/>
          </w:tcPr>
          <w:p>
            <w:pPr>
              <w:pStyle w:val="TableContents"/>
              <w:widowControl w:val="false"/>
              <w:suppressLineNumbers/>
              <w:bidi w:val="0"/>
              <w:jc w:val="start"/>
              <w:rPr/>
            </w:pPr>
            <w:r>
              <w:rPr/>
              <w:t>Private staff path, encryption, throttling and audit logs are deployed</w:t>
            </w:r>
          </w:p>
        </w:tc>
        <w:tc>
          <w:tcPr>
            <w:tcW w:w="2781" w:type="dxa"/>
            <w:tcBorders/>
            <w:vAlign w:val="center"/>
          </w:tcPr>
          <w:p>
            <w:pPr>
              <w:pStyle w:val="TableContents"/>
              <w:widowControl w:val="false"/>
              <w:suppressLineNumbers/>
              <w:bidi w:val="0"/>
              <w:jc w:val="start"/>
              <w:rPr/>
            </w:pPr>
            <w:r>
              <w:rPr/>
              <w:t>Zero unauthorised staff-area access events; quarterly access review completed</w:t>
            </w:r>
          </w:p>
        </w:tc>
        <w:tc>
          <w:tcPr>
            <w:tcW w:w="2638" w:type="dxa"/>
            <w:tcBorders/>
            <w:vAlign w:val="center"/>
          </w:tcPr>
          <w:p>
            <w:pPr>
              <w:pStyle w:val="TableContents"/>
              <w:widowControl w:val="false"/>
              <w:suppressLineNumbers/>
              <w:bidi w:val="0"/>
              <w:jc w:val="start"/>
              <w:rPr/>
            </w:pPr>
            <w:r>
              <w:rPr/>
              <w:t>ICT + Administration</w:t>
            </w:r>
          </w:p>
        </w:tc>
      </w:tr>
    </w:tbl>
    <w:p>
      <w:pPr>
        <w:pStyle w:val="Heading2"/>
        <w:bidi w:val="0"/>
        <w:jc w:val="start"/>
        <w:rPr/>
      </w:pPr>
      <w:r>
        <w:rPr/>
        <w:t>Objective 3 — Deliver a safe, learner-friendly Virtual Campus pilot</w:t>
      </w:r>
    </w:p>
    <w:p>
      <w:pPr>
        <w:pStyle w:val="BodyText"/>
        <w:bidi w:val="0"/>
        <w:jc w:val="start"/>
        <w:rPr/>
      </w:pPr>
      <w:r>
        <w:rPr>
          <w:rStyle w:val="Strong"/>
        </w:rPr>
        <w:t>Outcome:</w:t>
      </w:r>
      <w:r>
        <w:rPr/>
        <w:t xml:space="preserve"> A small approved learner group can learn, submit evidence and join live classes with clear support and reliable progress records.</w:t>
      </w:r>
    </w:p>
    <w:tbl>
      <w:tblPr>
        <w:tblW w:w="9866" w:type="dxa"/>
        <w:jc w:val="start"/>
        <w:tblInd w:w="0" w:type="dxa"/>
        <w:tblLayout w:type="fixed"/>
        <w:tblCellMar>
          <w:top w:w="28" w:type="dxa"/>
          <w:start w:w="28" w:type="dxa"/>
          <w:bottom w:w="28" w:type="dxa"/>
          <w:end w:w="28" w:type="dxa"/>
        </w:tblCellMar>
      </w:tblPr>
      <w:tblGrid>
        <w:gridCol w:w="1957"/>
        <w:gridCol w:w="3027"/>
        <w:gridCol w:w="2851"/>
        <w:gridCol w:w="2031"/>
      </w:tblGrid>
      <w:tr>
        <w:trPr>
          <w:tblHeader w:val="true"/>
        </w:trPr>
        <w:tc>
          <w:tcPr>
            <w:tcW w:w="1957" w:type="dxa"/>
            <w:tcBorders/>
            <w:vAlign w:val="center"/>
          </w:tcPr>
          <w:p>
            <w:pPr>
              <w:pStyle w:val="TableHeading"/>
              <w:suppressLineNumbers/>
              <w:shd w:fill="33594B" w:val="clear"/>
              <w:bidi w:val="0"/>
              <w:jc w:val="start"/>
              <w:rPr/>
            </w:pPr>
            <w:r>
              <w:rPr/>
              <w:t>Key result</w:t>
            </w:r>
          </w:p>
        </w:tc>
        <w:tc>
          <w:tcPr>
            <w:tcW w:w="3027" w:type="dxa"/>
            <w:tcBorders/>
            <w:vAlign w:val="center"/>
          </w:tcPr>
          <w:p>
            <w:pPr>
              <w:pStyle w:val="TableHeading"/>
              <w:suppressLineNumbers/>
              <w:shd w:fill="33594B" w:val="clear"/>
              <w:bidi w:val="0"/>
              <w:jc w:val="start"/>
              <w:rPr/>
            </w:pPr>
            <w:r>
              <w:rPr/>
              <w:t>Baseline / evidence</w:t>
            </w:r>
          </w:p>
        </w:tc>
        <w:tc>
          <w:tcPr>
            <w:tcW w:w="2851" w:type="dxa"/>
            <w:tcBorders/>
            <w:vAlign w:val="center"/>
          </w:tcPr>
          <w:p>
            <w:pPr>
              <w:pStyle w:val="TableHeading"/>
              <w:suppressLineNumbers/>
              <w:shd w:fill="33594B" w:val="clear"/>
              <w:bidi w:val="0"/>
              <w:jc w:val="start"/>
              <w:rPr/>
            </w:pPr>
            <w:r>
              <w:rPr/>
              <w:t>Target by July 2027</w:t>
            </w:r>
          </w:p>
        </w:tc>
        <w:tc>
          <w:tcPr>
            <w:tcW w:w="2031" w:type="dxa"/>
            <w:tcBorders/>
            <w:vAlign w:val="center"/>
          </w:tcPr>
          <w:p>
            <w:pPr>
              <w:pStyle w:val="TableHeading"/>
              <w:suppressLineNumbers/>
              <w:shd w:fill="33594B" w:val="clear"/>
              <w:bidi w:val="0"/>
              <w:jc w:val="start"/>
              <w:rPr/>
            </w:pPr>
            <w:r>
              <w:rPr/>
              <w:t>Owner / decision</w:t>
            </w:r>
          </w:p>
        </w:tc>
      </w:tr>
      <w:tr>
        <w:trPr/>
        <w:tc>
          <w:tcPr>
            <w:tcW w:w="1957" w:type="dxa"/>
            <w:tcBorders/>
            <w:vAlign w:val="center"/>
          </w:tcPr>
          <w:p>
            <w:pPr>
              <w:pStyle w:val="TableContents"/>
              <w:widowControl w:val="false"/>
              <w:suppressLineNumbers/>
              <w:bidi w:val="0"/>
              <w:jc w:val="start"/>
              <w:rPr/>
            </w:pPr>
            <w:r>
              <w:rPr/>
              <w:t>Pilot launch</w:t>
            </w:r>
          </w:p>
        </w:tc>
        <w:tc>
          <w:tcPr>
            <w:tcW w:w="3027" w:type="dxa"/>
            <w:tcBorders/>
            <w:vAlign w:val="center"/>
          </w:tcPr>
          <w:p>
            <w:pPr>
              <w:pStyle w:val="TableContents"/>
              <w:widowControl w:val="false"/>
              <w:suppressLineNumbers/>
              <w:bidi w:val="0"/>
              <w:jc w:val="start"/>
              <w:rPr/>
            </w:pPr>
            <w:r>
              <w:rPr/>
              <w:t>Local LiveKit rehearsal passed with one lecturer and two learners; production readiness is blocked on hosting/provider inputs</w:t>
            </w:r>
          </w:p>
        </w:tc>
        <w:tc>
          <w:tcPr>
            <w:tcW w:w="2851" w:type="dxa"/>
            <w:tcBorders/>
            <w:vAlign w:val="center"/>
          </w:tcPr>
          <w:p>
            <w:pPr>
              <w:pStyle w:val="TableContents"/>
              <w:widowControl w:val="false"/>
              <w:suppressLineNumbers/>
              <w:bidi w:val="0"/>
              <w:jc w:val="start"/>
              <w:rPr/>
            </w:pPr>
            <w:r>
              <w:rPr/>
              <w:t>Run an approved pilot with a named lecturer and learner cohort, then publish a review decision</w:t>
            </w:r>
          </w:p>
        </w:tc>
        <w:tc>
          <w:tcPr>
            <w:tcW w:w="2031" w:type="dxa"/>
            <w:tcBorders/>
            <w:vAlign w:val="center"/>
          </w:tcPr>
          <w:p>
            <w:pPr>
              <w:pStyle w:val="TableContents"/>
              <w:widowControl w:val="false"/>
              <w:suppressLineNumbers/>
              <w:bidi w:val="0"/>
              <w:jc w:val="start"/>
              <w:rPr/>
            </w:pPr>
            <w:r>
              <w:rPr/>
              <w:t>Academic lead + ICT; approve cohort, host and live-video service</w:t>
            </w:r>
          </w:p>
        </w:tc>
      </w:tr>
      <w:tr>
        <w:trPr/>
        <w:tc>
          <w:tcPr>
            <w:tcW w:w="1957" w:type="dxa"/>
            <w:tcBorders/>
            <w:vAlign w:val="center"/>
          </w:tcPr>
          <w:p>
            <w:pPr>
              <w:pStyle w:val="TableContents"/>
              <w:widowControl w:val="false"/>
              <w:suppressLineNumbers/>
              <w:bidi w:val="0"/>
              <w:jc w:val="start"/>
              <w:rPr/>
            </w:pPr>
            <w:r>
              <w:rPr/>
              <w:t>Learning evidence</w:t>
            </w:r>
          </w:p>
        </w:tc>
        <w:tc>
          <w:tcPr>
            <w:tcW w:w="3027" w:type="dxa"/>
            <w:tcBorders/>
            <w:vAlign w:val="center"/>
          </w:tcPr>
          <w:p>
            <w:pPr>
              <w:pStyle w:val="TableContents"/>
              <w:widowControl w:val="false"/>
              <w:suppressLineNumbers/>
              <w:bidi w:val="0"/>
              <w:jc w:val="start"/>
              <w:rPr/>
            </w:pPr>
            <w:r>
              <w:rPr/>
              <w:t>Video heartbeats/resume, checkpoints, assignments and assessment authoring are implemented locally</w:t>
            </w:r>
          </w:p>
        </w:tc>
        <w:tc>
          <w:tcPr>
            <w:tcW w:w="2851" w:type="dxa"/>
            <w:tcBorders/>
            <w:vAlign w:val="center"/>
          </w:tcPr>
          <w:p>
            <w:pPr>
              <w:pStyle w:val="TableContents"/>
              <w:widowControl w:val="false"/>
              <w:suppressLineNumbers/>
              <w:bidi w:val="0"/>
              <w:jc w:val="start"/>
              <w:rPr/>
            </w:pPr>
            <w:r>
              <w:rPr/>
              <w:t>≥</w:t>
            </w:r>
            <w:r>
              <w:rPr/>
              <w:t>90% of pilot learner progress events have verifiable evidence, not self-asserted completion</w:t>
            </w:r>
          </w:p>
        </w:tc>
        <w:tc>
          <w:tcPr>
            <w:tcW w:w="2031" w:type="dxa"/>
            <w:tcBorders/>
            <w:vAlign w:val="center"/>
          </w:tcPr>
          <w:p>
            <w:pPr>
              <w:pStyle w:val="TableContents"/>
              <w:widowControl w:val="false"/>
              <w:suppressLineNumbers/>
              <w:bidi w:val="0"/>
              <w:jc w:val="start"/>
              <w:rPr/>
            </w:pPr>
            <w:r>
              <w:rPr/>
              <w:t>Registrar + Academic lead; approve evidence policy</w:t>
            </w:r>
          </w:p>
        </w:tc>
      </w:tr>
      <w:tr>
        <w:trPr/>
        <w:tc>
          <w:tcPr>
            <w:tcW w:w="1957" w:type="dxa"/>
            <w:tcBorders/>
            <w:vAlign w:val="center"/>
          </w:tcPr>
          <w:p>
            <w:pPr>
              <w:pStyle w:val="TableContents"/>
              <w:widowControl w:val="false"/>
              <w:suppressLineNumbers/>
              <w:bidi w:val="0"/>
              <w:jc w:val="start"/>
              <w:rPr/>
            </w:pPr>
            <w:r>
              <w:rPr/>
              <w:t>Live-class experience</w:t>
            </w:r>
          </w:p>
        </w:tc>
        <w:tc>
          <w:tcPr>
            <w:tcW w:w="3027" w:type="dxa"/>
            <w:tcBorders/>
            <w:vAlign w:val="center"/>
          </w:tcPr>
          <w:p>
            <w:pPr>
              <w:pStyle w:val="TableContents"/>
              <w:widowControl w:val="false"/>
              <w:suppressLineNumbers/>
              <w:bidi w:val="0"/>
              <w:jc w:val="start"/>
              <w:rPr/>
            </w:pPr>
            <w:r>
              <w:rPr/>
              <w:t>Two-way video/audio, captions, screen sharing, role labels and leave controls verified locally</w:t>
            </w:r>
          </w:p>
        </w:tc>
        <w:tc>
          <w:tcPr>
            <w:tcW w:w="2851" w:type="dxa"/>
            <w:tcBorders/>
            <w:vAlign w:val="center"/>
          </w:tcPr>
          <w:p>
            <w:pPr>
              <w:pStyle w:val="TableContents"/>
              <w:widowControl w:val="false"/>
              <w:suppressLineNumbers/>
              <w:bidi w:val="0"/>
              <w:jc w:val="start"/>
              <w:rPr/>
            </w:pPr>
            <w:r>
              <w:rPr/>
              <w:t>≥</w:t>
            </w:r>
            <w:r>
              <w:rPr/>
              <w:t>95% of scheduled pilot classes complete without a critical learner-blocking incident</w:t>
            </w:r>
          </w:p>
        </w:tc>
        <w:tc>
          <w:tcPr>
            <w:tcW w:w="2031" w:type="dxa"/>
            <w:tcBorders/>
            <w:vAlign w:val="center"/>
          </w:tcPr>
          <w:p>
            <w:pPr>
              <w:pStyle w:val="TableContents"/>
              <w:widowControl w:val="false"/>
              <w:suppressLineNumbers/>
              <w:bidi w:val="0"/>
              <w:jc w:val="start"/>
              <w:rPr/>
            </w:pPr>
            <w:r>
              <w:rPr/>
              <w:t>Lecturer lead + ICT; approve support escalation</w:t>
            </w:r>
          </w:p>
        </w:tc>
      </w:tr>
      <w:tr>
        <w:trPr/>
        <w:tc>
          <w:tcPr>
            <w:tcW w:w="1957" w:type="dxa"/>
            <w:tcBorders/>
            <w:vAlign w:val="center"/>
          </w:tcPr>
          <w:p>
            <w:pPr>
              <w:pStyle w:val="TableContents"/>
              <w:widowControl w:val="false"/>
              <w:suppressLineNumbers/>
              <w:bidi w:val="0"/>
              <w:jc w:val="start"/>
              <w:rPr/>
            </w:pPr>
            <w:r>
              <w:rPr/>
              <w:t>Accessibility and low-bandwidth support</w:t>
            </w:r>
          </w:p>
        </w:tc>
        <w:tc>
          <w:tcPr>
            <w:tcW w:w="3027" w:type="dxa"/>
            <w:tcBorders/>
            <w:vAlign w:val="center"/>
          </w:tcPr>
          <w:p>
            <w:pPr>
              <w:pStyle w:val="TableContents"/>
              <w:widowControl w:val="false"/>
              <w:suppressLineNumbers/>
              <w:bidi w:val="0"/>
              <w:jc w:val="start"/>
              <w:rPr/>
            </w:pPr>
            <w:r>
              <w:rPr/>
              <w:t>Captions, reduced-motion/text fallbacks and lower-data media exist locally</w:t>
            </w:r>
          </w:p>
        </w:tc>
        <w:tc>
          <w:tcPr>
            <w:tcW w:w="2851" w:type="dxa"/>
            <w:tcBorders/>
            <w:vAlign w:val="center"/>
          </w:tcPr>
          <w:p>
            <w:pPr>
              <w:pStyle w:val="TableContents"/>
              <w:widowControl w:val="false"/>
              <w:suppressLineNumbers/>
              <w:bidi w:val="0"/>
              <w:jc w:val="start"/>
              <w:rPr/>
            </w:pPr>
            <w:r>
              <w:rPr/>
              <w:t>100% of pilot lesson videos have captions and a documented low-bandwidth option</w:t>
            </w:r>
          </w:p>
        </w:tc>
        <w:tc>
          <w:tcPr>
            <w:tcW w:w="2031" w:type="dxa"/>
            <w:tcBorders/>
            <w:vAlign w:val="center"/>
          </w:tcPr>
          <w:p>
            <w:pPr>
              <w:pStyle w:val="TableContents"/>
              <w:widowControl w:val="false"/>
              <w:suppressLineNumbers/>
              <w:bidi w:val="0"/>
              <w:jc w:val="start"/>
              <w:rPr/>
            </w:pPr>
            <w:r>
              <w:rPr/>
              <w:t>Academic lead</w:t>
            </w:r>
          </w:p>
        </w:tc>
      </w:tr>
    </w:tbl>
    <w:p>
      <w:pPr>
        <w:pStyle w:val="Heading2"/>
        <w:bidi w:val="0"/>
        <w:jc w:val="start"/>
        <w:rPr/>
      </w:pPr>
      <w:r>
        <w:rPr/>
        <w:t>Objective 4 — Turn Smart Lecturer into governed learner support</w:t>
      </w:r>
    </w:p>
    <w:p>
      <w:pPr>
        <w:pStyle w:val="BodyText"/>
        <w:bidi w:val="0"/>
        <w:jc w:val="start"/>
        <w:rPr/>
      </w:pPr>
      <w:r>
        <w:rPr>
          <w:rStyle w:val="Strong"/>
        </w:rPr>
        <w:t>Outcome:</w:t>
      </w:r>
      <w:r>
        <w:rPr/>
        <w:t xml:space="preserve"> Learners receive useful, consistent answers without the system inventing policies, fees or admissions decisions.</w:t>
      </w:r>
    </w:p>
    <w:tbl>
      <w:tblPr>
        <w:tblW w:w="9866" w:type="dxa"/>
        <w:jc w:val="start"/>
        <w:tblInd w:w="0" w:type="dxa"/>
        <w:tblLayout w:type="fixed"/>
        <w:tblCellMar>
          <w:top w:w="28" w:type="dxa"/>
          <w:start w:w="28" w:type="dxa"/>
          <w:bottom w:w="28" w:type="dxa"/>
          <w:end w:w="28" w:type="dxa"/>
        </w:tblCellMar>
      </w:tblPr>
      <w:tblGrid>
        <w:gridCol w:w="1455"/>
        <w:gridCol w:w="2653"/>
        <w:gridCol w:w="3301"/>
        <w:gridCol w:w="2457"/>
      </w:tblGrid>
      <w:tr>
        <w:trPr>
          <w:tblHeader w:val="true"/>
        </w:trPr>
        <w:tc>
          <w:tcPr>
            <w:tcW w:w="1455" w:type="dxa"/>
            <w:tcBorders/>
            <w:vAlign w:val="center"/>
          </w:tcPr>
          <w:p>
            <w:pPr>
              <w:pStyle w:val="TableHeading"/>
              <w:suppressLineNumbers/>
              <w:shd w:fill="33594B" w:val="clear"/>
              <w:bidi w:val="0"/>
              <w:jc w:val="start"/>
              <w:rPr/>
            </w:pPr>
            <w:r>
              <w:rPr/>
              <w:t>Key result</w:t>
            </w:r>
          </w:p>
        </w:tc>
        <w:tc>
          <w:tcPr>
            <w:tcW w:w="2653" w:type="dxa"/>
            <w:tcBorders/>
            <w:vAlign w:val="center"/>
          </w:tcPr>
          <w:p>
            <w:pPr>
              <w:pStyle w:val="TableHeading"/>
              <w:suppressLineNumbers/>
              <w:shd w:fill="33594B" w:val="clear"/>
              <w:bidi w:val="0"/>
              <w:jc w:val="start"/>
              <w:rPr/>
            </w:pPr>
            <w:r>
              <w:rPr/>
              <w:t>Baseline / evidence</w:t>
            </w:r>
          </w:p>
        </w:tc>
        <w:tc>
          <w:tcPr>
            <w:tcW w:w="3301" w:type="dxa"/>
            <w:tcBorders/>
            <w:vAlign w:val="center"/>
          </w:tcPr>
          <w:p>
            <w:pPr>
              <w:pStyle w:val="TableHeading"/>
              <w:suppressLineNumbers/>
              <w:shd w:fill="33594B" w:val="clear"/>
              <w:bidi w:val="0"/>
              <w:jc w:val="start"/>
              <w:rPr/>
            </w:pPr>
            <w:r>
              <w:rPr/>
              <w:t>Target by July 2027</w:t>
            </w:r>
          </w:p>
        </w:tc>
        <w:tc>
          <w:tcPr>
            <w:tcW w:w="2457" w:type="dxa"/>
            <w:tcBorders/>
            <w:vAlign w:val="center"/>
          </w:tcPr>
          <w:p>
            <w:pPr>
              <w:pStyle w:val="TableHeading"/>
              <w:suppressLineNumbers/>
              <w:shd w:fill="33594B" w:val="clear"/>
              <w:bidi w:val="0"/>
              <w:jc w:val="start"/>
              <w:rPr/>
            </w:pPr>
            <w:r>
              <w:rPr/>
              <w:t>Owner / decision</w:t>
            </w:r>
          </w:p>
        </w:tc>
      </w:tr>
      <w:tr>
        <w:trPr/>
        <w:tc>
          <w:tcPr>
            <w:tcW w:w="1455" w:type="dxa"/>
            <w:tcBorders/>
            <w:vAlign w:val="center"/>
          </w:tcPr>
          <w:p>
            <w:pPr>
              <w:pStyle w:val="TableContents"/>
              <w:widowControl w:val="false"/>
              <w:suppressLineNumbers/>
              <w:bidi w:val="0"/>
              <w:jc w:val="start"/>
              <w:rPr/>
            </w:pPr>
            <w:r>
              <w:rPr/>
              <w:t>Curated answer coverage</w:t>
            </w:r>
          </w:p>
        </w:tc>
        <w:tc>
          <w:tcPr>
            <w:tcW w:w="2653" w:type="dxa"/>
            <w:tcBorders/>
            <w:vAlign w:val="center"/>
          </w:tcPr>
          <w:p>
            <w:pPr>
              <w:pStyle w:val="TableContents"/>
              <w:widowControl w:val="false"/>
              <w:suppressLineNumbers/>
              <w:bidi w:val="0"/>
              <w:jc w:val="start"/>
              <w:rPr/>
            </w:pPr>
            <w:r>
              <w:rPr/>
              <w:t>Prototype supports curated Toolkit questions with sources, captions and speech</w:t>
            </w:r>
          </w:p>
        </w:tc>
        <w:tc>
          <w:tcPr>
            <w:tcW w:w="3301" w:type="dxa"/>
            <w:tcBorders/>
            <w:vAlign w:val="center"/>
          </w:tcPr>
          <w:p>
            <w:pPr>
              <w:pStyle w:val="TableContents"/>
              <w:widowControl w:val="false"/>
              <w:suppressLineNumbers/>
              <w:bidi w:val="0"/>
              <w:jc w:val="start"/>
              <w:rPr/>
            </w:pPr>
            <w:r>
              <w:rPr/>
              <w:t>100% of published answers trace to an approved source; monthly content review completed</w:t>
            </w:r>
          </w:p>
        </w:tc>
        <w:tc>
          <w:tcPr>
            <w:tcW w:w="2457" w:type="dxa"/>
            <w:tcBorders/>
            <w:vAlign w:val="center"/>
          </w:tcPr>
          <w:p>
            <w:pPr>
              <w:pStyle w:val="TableContents"/>
              <w:widowControl w:val="false"/>
              <w:suppressLineNumbers/>
              <w:bidi w:val="0"/>
              <w:jc w:val="start"/>
              <w:rPr/>
            </w:pPr>
            <w:r>
              <w:rPr/>
              <w:t>Academic + Communications</w:t>
            </w:r>
          </w:p>
        </w:tc>
      </w:tr>
      <w:tr>
        <w:trPr/>
        <w:tc>
          <w:tcPr>
            <w:tcW w:w="1455" w:type="dxa"/>
            <w:tcBorders/>
            <w:vAlign w:val="center"/>
          </w:tcPr>
          <w:p>
            <w:pPr>
              <w:pStyle w:val="TableContents"/>
              <w:widowControl w:val="false"/>
              <w:suppressLineNumbers/>
              <w:bidi w:val="0"/>
              <w:jc w:val="start"/>
              <w:rPr/>
            </w:pPr>
            <w:r>
              <w:rPr/>
              <w:t>Human review and escalation</w:t>
            </w:r>
          </w:p>
        </w:tc>
        <w:tc>
          <w:tcPr>
            <w:tcW w:w="2653" w:type="dxa"/>
            <w:tcBorders/>
            <w:vAlign w:val="center"/>
          </w:tcPr>
          <w:p>
            <w:pPr>
              <w:pStyle w:val="TableContents"/>
              <w:widowControl w:val="false"/>
              <w:suppressLineNumbers/>
              <w:bidi w:val="0"/>
              <w:jc w:val="start"/>
              <w:rPr/>
            </w:pPr>
            <w:r>
              <w:rPr/>
              <w:t>Prototype boundaries are documented; production authority is not granted</w:t>
            </w:r>
          </w:p>
        </w:tc>
        <w:tc>
          <w:tcPr>
            <w:tcW w:w="3301" w:type="dxa"/>
            <w:tcBorders/>
            <w:vAlign w:val="center"/>
          </w:tcPr>
          <w:p>
            <w:pPr>
              <w:pStyle w:val="TableContents"/>
              <w:widowControl w:val="false"/>
              <w:suppressLineNumbers/>
              <w:bidi w:val="0"/>
              <w:jc w:val="start"/>
              <w:rPr/>
            </w:pPr>
            <w:r>
              <w:rPr/>
              <w:t>All uncertain/high-impact questions show a clear human-support route; zero autonomous admission decisions</w:t>
            </w:r>
          </w:p>
        </w:tc>
        <w:tc>
          <w:tcPr>
            <w:tcW w:w="2457" w:type="dxa"/>
            <w:tcBorders/>
            <w:vAlign w:val="center"/>
          </w:tcPr>
          <w:p>
            <w:pPr>
              <w:pStyle w:val="TableContents"/>
              <w:widowControl w:val="false"/>
              <w:suppressLineNumbers/>
              <w:bidi w:val="0"/>
              <w:jc w:val="start"/>
              <w:rPr/>
            </w:pPr>
            <w:r>
              <w:rPr/>
              <w:t>Admissions lead; approve escalation wording</w:t>
            </w:r>
          </w:p>
        </w:tc>
      </w:tr>
      <w:tr>
        <w:trPr/>
        <w:tc>
          <w:tcPr>
            <w:tcW w:w="1455" w:type="dxa"/>
            <w:tcBorders/>
            <w:vAlign w:val="center"/>
          </w:tcPr>
          <w:p>
            <w:pPr>
              <w:pStyle w:val="TableContents"/>
              <w:widowControl w:val="false"/>
              <w:suppressLineNumbers/>
              <w:bidi w:val="0"/>
              <w:jc w:val="start"/>
              <w:rPr/>
            </w:pPr>
            <w:r>
              <w:rPr/>
              <w:t>Learner usability</w:t>
            </w:r>
          </w:p>
        </w:tc>
        <w:tc>
          <w:tcPr>
            <w:tcW w:w="2653" w:type="dxa"/>
            <w:tcBorders/>
            <w:vAlign w:val="center"/>
          </w:tcPr>
          <w:p>
            <w:pPr>
              <w:pStyle w:val="TableContents"/>
              <w:widowControl w:val="false"/>
              <w:suppressLineNumbers/>
              <w:bidi w:val="0"/>
              <w:jc w:val="start"/>
              <w:rPr/>
            </w:pPr>
            <w:r>
              <w:rPr/>
              <w:t>Text, speech, captions and fallbacks are demonstrated</w:t>
            </w:r>
          </w:p>
        </w:tc>
        <w:tc>
          <w:tcPr>
            <w:tcW w:w="3301" w:type="dxa"/>
            <w:tcBorders/>
            <w:vAlign w:val="center"/>
          </w:tcPr>
          <w:p>
            <w:pPr>
              <w:pStyle w:val="TableContents"/>
              <w:widowControl w:val="false"/>
              <w:suppressLineNumbers/>
              <w:bidi w:val="0"/>
              <w:jc w:val="start"/>
              <w:rPr/>
            </w:pPr>
            <w:r>
              <w:rPr/>
              <w:t>≥</w:t>
            </w:r>
            <w:r>
              <w:rPr/>
              <w:t>85% positive rating in a supervised learner review before any public pilot</w:t>
            </w:r>
          </w:p>
        </w:tc>
        <w:tc>
          <w:tcPr>
            <w:tcW w:w="2457" w:type="dxa"/>
            <w:tcBorders/>
            <w:vAlign w:val="center"/>
          </w:tcPr>
          <w:p>
            <w:pPr>
              <w:pStyle w:val="TableContents"/>
              <w:widowControl w:val="false"/>
              <w:suppressLineNumbers/>
              <w:bidi w:val="0"/>
              <w:jc w:val="start"/>
              <w:rPr/>
            </w:pPr>
            <w:r>
              <w:rPr/>
              <w:t>Academic lead</w:t>
            </w:r>
          </w:p>
        </w:tc>
      </w:tr>
    </w:tbl>
    <w:p>
      <w:pPr>
        <w:pStyle w:val="Heading2"/>
        <w:bidi w:val="0"/>
        <w:jc w:val="start"/>
        <w:rPr/>
      </w:pPr>
      <w:r>
        <w:rPr/>
        <w:t>Objective 5 — Make daily work, intake and decisions visible</w:t>
      </w:r>
    </w:p>
    <w:p>
      <w:pPr>
        <w:pStyle w:val="BodyText"/>
        <w:bidi w:val="0"/>
        <w:jc w:val="start"/>
        <w:rPr/>
      </w:pPr>
      <w:r>
        <w:rPr>
          <w:rStyle w:val="Strong"/>
        </w:rPr>
        <w:t>Outcome:</w:t>
      </w:r>
      <w:r>
        <w:rPr/>
        <w:t xml:space="preserve"> Managers can see what was done, what is verified, what is behind target and who owns the next action.</w:t>
      </w:r>
    </w:p>
    <w:tbl>
      <w:tblPr>
        <w:tblW w:w="9866" w:type="dxa"/>
        <w:jc w:val="start"/>
        <w:tblInd w:w="0" w:type="dxa"/>
        <w:tblLayout w:type="fixed"/>
        <w:tblCellMar>
          <w:top w:w="28" w:type="dxa"/>
          <w:start w:w="28" w:type="dxa"/>
          <w:bottom w:w="28" w:type="dxa"/>
          <w:end w:w="28" w:type="dxa"/>
        </w:tblCellMar>
      </w:tblPr>
      <w:tblGrid>
        <w:gridCol w:w="1769"/>
        <w:gridCol w:w="2590"/>
        <w:gridCol w:w="2955"/>
        <w:gridCol w:w="2552"/>
      </w:tblGrid>
      <w:tr>
        <w:trPr>
          <w:tblHeader w:val="true"/>
        </w:trPr>
        <w:tc>
          <w:tcPr>
            <w:tcW w:w="1769" w:type="dxa"/>
            <w:tcBorders/>
            <w:vAlign w:val="center"/>
          </w:tcPr>
          <w:p>
            <w:pPr>
              <w:pStyle w:val="TableHeading"/>
              <w:suppressLineNumbers/>
              <w:shd w:fill="33594B" w:val="clear"/>
              <w:bidi w:val="0"/>
              <w:jc w:val="start"/>
              <w:rPr/>
            </w:pPr>
            <w:r>
              <w:rPr/>
              <w:t>Key result</w:t>
            </w:r>
          </w:p>
        </w:tc>
        <w:tc>
          <w:tcPr>
            <w:tcW w:w="2590" w:type="dxa"/>
            <w:tcBorders/>
            <w:vAlign w:val="center"/>
          </w:tcPr>
          <w:p>
            <w:pPr>
              <w:pStyle w:val="TableHeading"/>
              <w:suppressLineNumbers/>
              <w:shd w:fill="33594B" w:val="clear"/>
              <w:bidi w:val="0"/>
              <w:jc w:val="start"/>
              <w:rPr/>
            </w:pPr>
            <w:r>
              <w:rPr/>
              <w:t>Baseline / evidence</w:t>
            </w:r>
          </w:p>
        </w:tc>
        <w:tc>
          <w:tcPr>
            <w:tcW w:w="2955" w:type="dxa"/>
            <w:tcBorders/>
            <w:vAlign w:val="center"/>
          </w:tcPr>
          <w:p>
            <w:pPr>
              <w:pStyle w:val="TableHeading"/>
              <w:suppressLineNumbers/>
              <w:shd w:fill="33594B" w:val="clear"/>
              <w:bidi w:val="0"/>
              <w:jc w:val="start"/>
              <w:rPr/>
            </w:pPr>
            <w:r>
              <w:rPr/>
              <w:t>Target by July 2027</w:t>
            </w:r>
          </w:p>
        </w:tc>
        <w:tc>
          <w:tcPr>
            <w:tcW w:w="2552" w:type="dxa"/>
            <w:tcBorders/>
            <w:vAlign w:val="center"/>
          </w:tcPr>
          <w:p>
            <w:pPr>
              <w:pStyle w:val="TableHeading"/>
              <w:suppressLineNumbers/>
              <w:shd w:fill="33594B" w:val="clear"/>
              <w:bidi w:val="0"/>
              <w:jc w:val="start"/>
              <w:rPr/>
            </w:pPr>
            <w:r>
              <w:rPr/>
              <w:t>Owner / decision</w:t>
            </w:r>
          </w:p>
        </w:tc>
      </w:tr>
      <w:tr>
        <w:trPr/>
        <w:tc>
          <w:tcPr>
            <w:tcW w:w="1769" w:type="dxa"/>
            <w:tcBorders/>
            <w:vAlign w:val="center"/>
          </w:tcPr>
          <w:p>
            <w:pPr>
              <w:pStyle w:val="TableContents"/>
              <w:widowControl w:val="false"/>
              <w:suppressLineNumbers/>
              <w:bidi w:val="0"/>
              <w:jc w:val="start"/>
              <w:rPr/>
            </w:pPr>
            <w:r>
              <w:rPr/>
              <w:t>Daily report discipline</w:t>
            </w:r>
          </w:p>
        </w:tc>
        <w:tc>
          <w:tcPr>
            <w:tcW w:w="2590" w:type="dxa"/>
            <w:tcBorders/>
            <w:vAlign w:val="center"/>
          </w:tcPr>
          <w:p>
            <w:pPr>
              <w:pStyle w:val="TableContents"/>
              <w:widowControl w:val="false"/>
              <w:suppressLineNumbers/>
              <w:bidi w:val="0"/>
              <w:jc w:val="start"/>
              <w:rPr/>
            </w:pPr>
            <w:r>
              <w:rPr/>
              <w:t>Drafts, submissions, review states, dashboards and PDFs work; new filters/XLSX export are implemented locally</w:t>
            </w:r>
          </w:p>
        </w:tc>
        <w:tc>
          <w:tcPr>
            <w:tcW w:w="2955" w:type="dxa"/>
            <w:tcBorders/>
            <w:vAlign w:val="center"/>
          </w:tcPr>
          <w:p>
            <w:pPr>
              <w:pStyle w:val="TableContents"/>
              <w:widowControl w:val="false"/>
              <w:suppressLineNumbers/>
              <w:bidi w:val="0"/>
              <w:jc w:val="start"/>
              <w:rPr/>
            </w:pPr>
            <w:r>
              <w:rPr/>
              <w:t>≥</w:t>
            </w:r>
            <w:r>
              <w:rPr/>
              <w:t>90% of expected staff reports submitted by the agreed deadline each month</w:t>
            </w:r>
          </w:p>
        </w:tc>
        <w:tc>
          <w:tcPr>
            <w:tcW w:w="2552" w:type="dxa"/>
            <w:tcBorders/>
            <w:vAlign w:val="center"/>
          </w:tcPr>
          <w:p>
            <w:pPr>
              <w:pStyle w:val="TableContents"/>
              <w:widowControl w:val="false"/>
              <w:suppressLineNumbers/>
              <w:bidi w:val="0"/>
              <w:jc w:val="start"/>
              <w:rPr/>
            </w:pPr>
            <w:r>
              <w:rPr/>
              <w:t>Department heads; approve deadline/denominator</w:t>
            </w:r>
          </w:p>
        </w:tc>
      </w:tr>
      <w:tr>
        <w:trPr/>
        <w:tc>
          <w:tcPr>
            <w:tcW w:w="1769" w:type="dxa"/>
            <w:tcBorders/>
            <w:vAlign w:val="center"/>
          </w:tcPr>
          <w:p>
            <w:pPr>
              <w:pStyle w:val="TableContents"/>
              <w:widowControl w:val="false"/>
              <w:suppressLineNumbers/>
              <w:bidi w:val="0"/>
              <w:jc w:val="start"/>
              <w:rPr/>
            </w:pPr>
            <w:r>
              <w:rPr/>
              <w:t>Review turnaround</w:t>
            </w:r>
          </w:p>
        </w:tc>
        <w:tc>
          <w:tcPr>
            <w:tcW w:w="2590" w:type="dxa"/>
            <w:tcBorders/>
            <w:vAlign w:val="center"/>
          </w:tcPr>
          <w:p>
            <w:pPr>
              <w:pStyle w:val="TableContents"/>
              <w:widowControl w:val="false"/>
              <w:suppressLineNumbers/>
              <w:bidi w:val="0"/>
              <w:jc w:val="start"/>
              <w:rPr/>
            </w:pPr>
            <w:r>
              <w:rPr/>
              <w:t>Submitted → Reviewed → Approved workflow exists</w:t>
            </w:r>
          </w:p>
        </w:tc>
        <w:tc>
          <w:tcPr>
            <w:tcW w:w="2955" w:type="dxa"/>
            <w:tcBorders/>
            <w:vAlign w:val="center"/>
          </w:tcPr>
          <w:p>
            <w:pPr>
              <w:pStyle w:val="TableContents"/>
              <w:widowControl w:val="false"/>
              <w:suppressLineNumbers/>
              <w:bidi w:val="0"/>
              <w:jc w:val="start"/>
              <w:rPr/>
            </w:pPr>
            <w:r>
              <w:rPr/>
              <w:t>≥</w:t>
            </w:r>
            <w:r>
              <w:rPr/>
              <w:t>95% of submitted reports reviewed within two working days</w:t>
            </w:r>
          </w:p>
        </w:tc>
        <w:tc>
          <w:tcPr>
            <w:tcW w:w="2552" w:type="dxa"/>
            <w:tcBorders/>
            <w:vAlign w:val="center"/>
          </w:tcPr>
          <w:p>
            <w:pPr>
              <w:pStyle w:val="TableContents"/>
              <w:widowControl w:val="false"/>
              <w:suppressLineNumbers/>
              <w:bidi w:val="0"/>
              <w:jc w:val="start"/>
              <w:rPr/>
            </w:pPr>
            <w:r>
              <w:rPr/>
              <w:t>Department heads</w:t>
            </w:r>
          </w:p>
        </w:tc>
      </w:tr>
      <w:tr>
        <w:trPr/>
        <w:tc>
          <w:tcPr>
            <w:tcW w:w="1769" w:type="dxa"/>
            <w:tcBorders/>
            <w:vAlign w:val="center"/>
          </w:tcPr>
          <w:p>
            <w:pPr>
              <w:pStyle w:val="TableContents"/>
              <w:widowControl w:val="false"/>
              <w:suppressLineNumbers/>
              <w:bidi w:val="0"/>
              <w:jc w:val="start"/>
              <w:rPr/>
            </w:pPr>
            <w:r>
              <w:rPr/>
              <w:t>Admissions and intake accountability</w:t>
            </w:r>
          </w:p>
        </w:tc>
        <w:tc>
          <w:tcPr>
            <w:tcW w:w="2590" w:type="dxa"/>
            <w:tcBorders/>
            <w:vAlign w:val="center"/>
          </w:tcPr>
          <w:p>
            <w:pPr>
              <w:pStyle w:val="TableContents"/>
              <w:widowControl w:val="false"/>
              <w:suppressLineNumbers/>
              <w:bidi w:val="0"/>
              <w:jc w:val="start"/>
              <w:rPr/>
            </w:pPr>
            <w:r>
              <w:rPr/>
              <w:t>Fee-paid verified enrolments now drive intake actuals; targets are implemented locally</w:t>
            </w:r>
          </w:p>
        </w:tc>
        <w:tc>
          <w:tcPr>
            <w:tcW w:w="2955" w:type="dxa"/>
            <w:tcBorders/>
            <w:vAlign w:val="center"/>
          </w:tcPr>
          <w:p>
            <w:pPr>
              <w:pStyle w:val="TableContents"/>
              <w:widowControl w:val="false"/>
              <w:suppressLineNumbers/>
              <w:bidi w:val="0"/>
              <w:jc w:val="start"/>
              <w:rPr/>
            </w:pPr>
            <w:r>
              <w:rPr/>
              <w:t>Monthly target review completed for every active intake officer; gaps have a recorded action</w:t>
            </w:r>
          </w:p>
        </w:tc>
        <w:tc>
          <w:tcPr>
            <w:tcW w:w="2552" w:type="dxa"/>
            <w:tcBorders/>
            <w:vAlign w:val="center"/>
          </w:tcPr>
          <w:p>
            <w:pPr>
              <w:pStyle w:val="TableContents"/>
              <w:widowControl w:val="false"/>
              <w:suppressLineNumbers/>
              <w:bidi w:val="0"/>
              <w:jc w:val="start"/>
              <w:rPr/>
            </w:pPr>
            <w:r>
              <w:rPr/>
              <w:t>Admissions + Finance; confirm fee-paid source</w:t>
            </w:r>
          </w:p>
        </w:tc>
      </w:tr>
      <w:tr>
        <w:trPr/>
        <w:tc>
          <w:tcPr>
            <w:tcW w:w="1769" w:type="dxa"/>
            <w:tcBorders/>
            <w:vAlign w:val="center"/>
          </w:tcPr>
          <w:p>
            <w:pPr>
              <w:pStyle w:val="TableContents"/>
              <w:widowControl w:val="false"/>
              <w:suppressLineNumbers/>
              <w:bidi w:val="0"/>
              <w:jc w:val="start"/>
              <w:rPr/>
            </w:pPr>
            <w:r>
              <w:rPr/>
              <w:t>Meeting action closure</w:t>
            </w:r>
          </w:p>
        </w:tc>
        <w:tc>
          <w:tcPr>
            <w:tcW w:w="2590" w:type="dxa"/>
            <w:tcBorders/>
            <w:vAlign w:val="center"/>
          </w:tcPr>
          <w:p>
            <w:pPr>
              <w:pStyle w:val="TableContents"/>
              <w:widowControl w:val="false"/>
              <w:suppressLineNumbers/>
              <w:bidi w:val="0"/>
              <w:jc w:val="start"/>
              <w:rPr/>
            </w:pPr>
            <w:r>
              <w:rPr/>
              <w:t>Minutes, owners, due dates and status history are implemented locally</w:t>
            </w:r>
          </w:p>
        </w:tc>
        <w:tc>
          <w:tcPr>
            <w:tcW w:w="2955" w:type="dxa"/>
            <w:tcBorders/>
            <w:vAlign w:val="center"/>
          </w:tcPr>
          <w:p>
            <w:pPr>
              <w:pStyle w:val="TableContents"/>
              <w:widowControl w:val="false"/>
              <w:suppressLineNumbers/>
              <w:bidi w:val="0"/>
              <w:jc w:val="start"/>
              <w:rPr/>
            </w:pPr>
            <w:r>
              <w:rPr/>
              <w:t>≥</w:t>
            </w:r>
            <w:r>
              <w:rPr/>
              <w:t>85% of actions closed by due date, with blocked items carrying an explanation</w:t>
            </w:r>
          </w:p>
        </w:tc>
        <w:tc>
          <w:tcPr>
            <w:tcW w:w="2552" w:type="dxa"/>
            <w:tcBorders/>
            <w:vAlign w:val="center"/>
          </w:tcPr>
          <w:p>
            <w:pPr>
              <w:pStyle w:val="TableContents"/>
              <w:widowControl w:val="false"/>
              <w:suppressLineNumbers/>
              <w:bidi w:val="0"/>
              <w:jc w:val="start"/>
              <w:rPr/>
            </w:pPr>
            <w:r>
              <w:rPr/>
              <w:t>Management; approve action policy</w:t>
            </w:r>
          </w:p>
        </w:tc>
      </w:tr>
      <w:tr>
        <w:trPr/>
        <w:tc>
          <w:tcPr>
            <w:tcW w:w="1769" w:type="dxa"/>
            <w:tcBorders/>
            <w:vAlign w:val="center"/>
          </w:tcPr>
          <w:p>
            <w:pPr>
              <w:pStyle w:val="TableContents"/>
              <w:widowControl w:val="false"/>
              <w:suppressLineNumbers/>
              <w:bidi w:val="0"/>
              <w:jc w:val="start"/>
              <w:rPr/>
            </w:pPr>
            <w:r>
              <w:rPr/>
              <w:t>Wingu continuity</w:t>
            </w:r>
          </w:p>
        </w:tc>
        <w:tc>
          <w:tcPr>
            <w:tcW w:w="2590" w:type="dxa"/>
            <w:tcBorders/>
            <w:vAlign w:val="center"/>
          </w:tcPr>
          <w:p>
            <w:pPr>
              <w:pStyle w:val="TableContents"/>
              <w:widowControl w:val="false"/>
              <w:suppressLineNumbers/>
              <w:bidi w:val="0"/>
              <w:jc w:val="start"/>
              <w:rPr/>
            </w:pPr>
            <w:r>
              <w:rPr/>
              <w:t>No API/SSO; approval-gated isolated browser workflow is documented</w:t>
            </w:r>
          </w:p>
        </w:tc>
        <w:tc>
          <w:tcPr>
            <w:tcW w:w="2955" w:type="dxa"/>
            <w:tcBorders/>
            <w:vAlign w:val="center"/>
          </w:tcPr>
          <w:p>
            <w:pPr>
              <w:pStyle w:val="TableContents"/>
              <w:widowControl w:val="false"/>
              <w:suppressLineNumbers/>
              <w:bidi w:val="0"/>
              <w:jc w:val="start"/>
              <w:rPr/>
            </w:pPr>
            <w:r>
              <w:rPr/>
              <w:t>100% of dispatched rows use Wingu-presented project values, approved attendance input and reload verification</w:t>
            </w:r>
          </w:p>
        </w:tc>
        <w:tc>
          <w:tcPr>
            <w:tcW w:w="2552" w:type="dxa"/>
            <w:tcBorders/>
            <w:vAlign w:val="center"/>
          </w:tcPr>
          <w:p>
            <w:pPr>
              <w:pStyle w:val="TableContents"/>
              <w:widowControl w:val="false"/>
              <w:suppressLineNumbers/>
              <w:bidi w:val="0"/>
              <w:jc w:val="start"/>
              <w:rPr/>
            </w:pPr>
            <w:r>
              <w:rPr/>
              <w:t>ICT + employee; provide attendance-sheet format and rejected-row owner</w:t>
            </w:r>
          </w:p>
        </w:tc>
      </w:tr>
    </w:tbl>
    <w:p>
      <w:pPr>
        <w:pStyle w:val="Heading2"/>
        <w:bidi w:val="0"/>
        <w:jc w:val="start"/>
        <w:rPr/>
      </w:pPr>
      <w:r>
        <w:rPr/>
        <w:t>Objective 6 — Protect institutional data and keep services recoverable</w:t>
      </w:r>
    </w:p>
    <w:p>
      <w:pPr>
        <w:pStyle w:val="BodyText"/>
        <w:bidi w:val="0"/>
        <w:jc w:val="start"/>
        <w:rPr/>
      </w:pPr>
      <w:r>
        <w:rPr>
          <w:rStyle w:val="Strong"/>
        </w:rPr>
        <w:t>Outcome:</w:t>
      </w:r>
      <w:r>
        <w:rPr/>
        <w:t xml:space="preserve"> Security incidents are contained quickly, sensitive information is not exposed through convenience shortcuts, and the team can restore service.</w:t>
      </w:r>
    </w:p>
    <w:tbl>
      <w:tblPr>
        <w:tblW w:w="9866" w:type="dxa"/>
        <w:jc w:val="start"/>
        <w:tblInd w:w="0" w:type="dxa"/>
        <w:tblLayout w:type="fixed"/>
        <w:tblCellMar>
          <w:top w:w="28" w:type="dxa"/>
          <w:start w:w="28" w:type="dxa"/>
          <w:bottom w:w="28" w:type="dxa"/>
          <w:end w:w="28" w:type="dxa"/>
        </w:tblCellMar>
      </w:tblPr>
      <w:tblGrid>
        <w:gridCol w:w="1414"/>
        <w:gridCol w:w="2986"/>
        <w:gridCol w:w="3177"/>
        <w:gridCol w:w="2289"/>
      </w:tblGrid>
      <w:tr>
        <w:trPr>
          <w:tblHeader w:val="true"/>
        </w:trPr>
        <w:tc>
          <w:tcPr>
            <w:tcW w:w="1414" w:type="dxa"/>
            <w:tcBorders/>
            <w:vAlign w:val="center"/>
          </w:tcPr>
          <w:p>
            <w:pPr>
              <w:pStyle w:val="TableHeading"/>
              <w:suppressLineNumbers/>
              <w:shd w:fill="33594B" w:val="clear"/>
              <w:bidi w:val="0"/>
              <w:jc w:val="start"/>
              <w:rPr/>
            </w:pPr>
            <w:r>
              <w:rPr/>
              <w:t>Key result</w:t>
            </w:r>
          </w:p>
        </w:tc>
        <w:tc>
          <w:tcPr>
            <w:tcW w:w="2986" w:type="dxa"/>
            <w:tcBorders/>
            <w:vAlign w:val="center"/>
          </w:tcPr>
          <w:p>
            <w:pPr>
              <w:pStyle w:val="TableHeading"/>
              <w:suppressLineNumbers/>
              <w:shd w:fill="33594B" w:val="clear"/>
              <w:bidi w:val="0"/>
              <w:jc w:val="start"/>
              <w:rPr/>
            </w:pPr>
            <w:r>
              <w:rPr/>
              <w:t>Baseline / evidence</w:t>
            </w:r>
          </w:p>
        </w:tc>
        <w:tc>
          <w:tcPr>
            <w:tcW w:w="3177" w:type="dxa"/>
            <w:tcBorders/>
            <w:vAlign w:val="center"/>
          </w:tcPr>
          <w:p>
            <w:pPr>
              <w:pStyle w:val="TableHeading"/>
              <w:suppressLineNumbers/>
              <w:shd w:fill="33594B" w:val="clear"/>
              <w:bidi w:val="0"/>
              <w:jc w:val="start"/>
              <w:rPr/>
            </w:pPr>
            <w:r>
              <w:rPr/>
              <w:t>Target by July 2027</w:t>
            </w:r>
          </w:p>
        </w:tc>
        <w:tc>
          <w:tcPr>
            <w:tcW w:w="2289" w:type="dxa"/>
            <w:tcBorders/>
            <w:vAlign w:val="center"/>
          </w:tcPr>
          <w:p>
            <w:pPr>
              <w:pStyle w:val="TableHeading"/>
              <w:suppressLineNumbers/>
              <w:shd w:fill="33594B" w:val="clear"/>
              <w:bidi w:val="0"/>
              <w:jc w:val="start"/>
              <w:rPr/>
            </w:pPr>
            <w:r>
              <w:rPr/>
              <w:t>Owner / decision</w:t>
            </w:r>
          </w:p>
        </w:tc>
      </w:tr>
      <w:tr>
        <w:trPr/>
        <w:tc>
          <w:tcPr>
            <w:tcW w:w="1414" w:type="dxa"/>
            <w:tcBorders/>
            <w:vAlign w:val="center"/>
          </w:tcPr>
          <w:p>
            <w:pPr>
              <w:pStyle w:val="TableContents"/>
              <w:widowControl w:val="false"/>
              <w:suppressLineNumbers/>
              <w:bidi w:val="0"/>
              <w:jc w:val="start"/>
              <w:rPr/>
            </w:pPr>
            <w:r>
              <w:rPr/>
              <w:t>High-risk exposure</w:t>
            </w:r>
          </w:p>
        </w:tc>
        <w:tc>
          <w:tcPr>
            <w:tcW w:w="2986" w:type="dxa"/>
            <w:tcBorders/>
            <w:vAlign w:val="center"/>
          </w:tcPr>
          <w:p>
            <w:pPr>
              <w:pStyle w:val="TableContents"/>
              <w:widowControl w:val="false"/>
              <w:suppressLineNumbers/>
              <w:bidi w:val="0"/>
              <w:jc w:val="start"/>
              <w:rPr/>
            </w:pPr>
            <w:r>
              <w:rPr/>
              <w:t>WordPress incident contained; normal accounts preserved; scans reported zero infected files</w:t>
            </w:r>
          </w:p>
        </w:tc>
        <w:tc>
          <w:tcPr>
            <w:tcW w:w="3177" w:type="dxa"/>
            <w:tcBorders/>
            <w:vAlign w:val="center"/>
          </w:tcPr>
          <w:p>
            <w:pPr>
              <w:pStyle w:val="TableContents"/>
              <w:widowControl w:val="false"/>
              <w:suppressLineNumbers/>
              <w:bidi w:val="0"/>
              <w:jc w:val="start"/>
              <w:rPr/>
            </w:pPr>
            <w:r>
              <w:rPr/>
              <w:t>Zero unresolved critical/high security findings older than 14 days</w:t>
            </w:r>
          </w:p>
        </w:tc>
        <w:tc>
          <w:tcPr>
            <w:tcW w:w="2289" w:type="dxa"/>
            <w:tcBorders/>
            <w:vAlign w:val="center"/>
          </w:tcPr>
          <w:p>
            <w:pPr>
              <w:pStyle w:val="TableContents"/>
              <w:widowControl w:val="false"/>
              <w:suppressLineNumbers/>
              <w:bidi w:val="0"/>
              <w:jc w:val="start"/>
              <w:rPr/>
            </w:pPr>
            <w:r>
              <w:rPr/>
              <w:t>ICT; approve vulnerability reporting channel</w:t>
            </w:r>
          </w:p>
        </w:tc>
      </w:tr>
      <w:tr>
        <w:trPr/>
        <w:tc>
          <w:tcPr>
            <w:tcW w:w="1414" w:type="dxa"/>
            <w:tcBorders/>
            <w:vAlign w:val="center"/>
          </w:tcPr>
          <w:p>
            <w:pPr>
              <w:pStyle w:val="TableContents"/>
              <w:widowControl w:val="false"/>
              <w:suppressLineNumbers/>
              <w:bidi w:val="0"/>
              <w:jc w:val="start"/>
              <w:rPr/>
            </w:pPr>
            <w:r>
              <w:rPr/>
              <w:t>Secret handling</w:t>
            </w:r>
          </w:p>
        </w:tc>
        <w:tc>
          <w:tcPr>
            <w:tcW w:w="2986" w:type="dxa"/>
            <w:tcBorders/>
            <w:vAlign w:val="center"/>
          </w:tcPr>
          <w:p>
            <w:pPr>
              <w:pStyle w:val="TableContents"/>
              <w:widowControl w:val="false"/>
              <w:suppressLineNumbers/>
              <w:bidi w:val="0"/>
              <w:jc w:val="start"/>
              <w:rPr/>
            </w:pPr>
            <w:r>
              <w:rPr/>
              <w:t>Applicant encryption keyring and admin vault procedures exist; no secrets in committed docs</w:t>
            </w:r>
          </w:p>
        </w:tc>
        <w:tc>
          <w:tcPr>
            <w:tcW w:w="3177" w:type="dxa"/>
            <w:tcBorders/>
            <w:vAlign w:val="center"/>
          </w:tcPr>
          <w:p>
            <w:pPr>
              <w:pStyle w:val="TableContents"/>
              <w:widowControl w:val="false"/>
              <w:suppressLineNumbers/>
              <w:bidi w:val="0"/>
              <w:jc w:val="start"/>
              <w:rPr/>
            </w:pPr>
            <w:r>
              <w:rPr/>
              <w:t>100% of production secrets held outside Git and reviewed quarterly</w:t>
            </w:r>
          </w:p>
        </w:tc>
        <w:tc>
          <w:tcPr>
            <w:tcW w:w="2289" w:type="dxa"/>
            <w:tcBorders/>
            <w:vAlign w:val="center"/>
          </w:tcPr>
          <w:p>
            <w:pPr>
              <w:pStyle w:val="TableContents"/>
              <w:widowControl w:val="false"/>
              <w:suppressLineNumbers/>
              <w:bidi w:val="0"/>
              <w:jc w:val="start"/>
              <w:rPr/>
            </w:pPr>
            <w:r>
              <w:rPr/>
              <w:t>ICT + Administration</w:t>
            </w:r>
          </w:p>
        </w:tc>
      </w:tr>
      <w:tr>
        <w:trPr/>
        <w:tc>
          <w:tcPr>
            <w:tcW w:w="1414" w:type="dxa"/>
            <w:tcBorders/>
            <w:vAlign w:val="center"/>
          </w:tcPr>
          <w:p>
            <w:pPr>
              <w:pStyle w:val="TableContents"/>
              <w:widowControl w:val="false"/>
              <w:suppressLineNumbers/>
              <w:bidi w:val="0"/>
              <w:jc w:val="start"/>
              <w:rPr/>
            </w:pPr>
            <w:r>
              <w:rPr/>
              <w:t>Recovery readiness</w:t>
            </w:r>
          </w:p>
        </w:tc>
        <w:tc>
          <w:tcPr>
            <w:tcW w:w="2986" w:type="dxa"/>
            <w:tcBorders/>
            <w:vAlign w:val="center"/>
          </w:tcPr>
          <w:p>
            <w:pPr>
              <w:pStyle w:val="TableContents"/>
              <w:widowControl w:val="false"/>
              <w:suppressLineNumbers/>
              <w:bidi w:val="0"/>
              <w:jc w:val="start"/>
              <w:rPr/>
            </w:pPr>
            <w:r>
              <w:rPr/>
              <w:t>Deployment and backup procedures are documented; restore ownership remains open in some systems</w:t>
            </w:r>
          </w:p>
        </w:tc>
        <w:tc>
          <w:tcPr>
            <w:tcW w:w="3177" w:type="dxa"/>
            <w:tcBorders/>
            <w:vAlign w:val="center"/>
          </w:tcPr>
          <w:p>
            <w:pPr>
              <w:pStyle w:val="TableContents"/>
              <w:widowControl w:val="false"/>
              <w:suppressLineNumbers/>
              <w:bidi w:val="0"/>
              <w:jc w:val="start"/>
              <w:rPr/>
            </w:pPr>
            <w:r>
              <w:rPr/>
              <w:t>Quarterly restore exercise for website, Reception and Report System with recorded result</w:t>
            </w:r>
          </w:p>
        </w:tc>
        <w:tc>
          <w:tcPr>
            <w:tcW w:w="2289" w:type="dxa"/>
            <w:tcBorders/>
            <w:vAlign w:val="center"/>
          </w:tcPr>
          <w:p>
            <w:pPr>
              <w:pStyle w:val="TableContents"/>
              <w:widowControl w:val="false"/>
              <w:suppressLineNumbers/>
              <w:bidi w:val="0"/>
              <w:jc w:val="start"/>
              <w:rPr/>
            </w:pPr>
            <w:r>
              <w:rPr/>
              <w:t>ICT; name restore owner and backup location</w:t>
            </w:r>
          </w:p>
        </w:tc>
      </w:tr>
      <w:tr>
        <w:trPr/>
        <w:tc>
          <w:tcPr>
            <w:tcW w:w="1414" w:type="dxa"/>
            <w:tcBorders/>
            <w:vAlign w:val="center"/>
          </w:tcPr>
          <w:p>
            <w:pPr>
              <w:pStyle w:val="TableContents"/>
              <w:widowControl w:val="false"/>
              <w:suppressLineNumbers/>
              <w:bidi w:val="0"/>
              <w:jc w:val="start"/>
              <w:rPr/>
            </w:pPr>
            <w:r>
              <w:rPr/>
              <w:t>Access governance</w:t>
            </w:r>
          </w:p>
        </w:tc>
        <w:tc>
          <w:tcPr>
            <w:tcW w:w="2986" w:type="dxa"/>
            <w:tcBorders/>
            <w:vAlign w:val="center"/>
          </w:tcPr>
          <w:p>
            <w:pPr>
              <w:pStyle w:val="TableContents"/>
              <w:widowControl w:val="false"/>
              <w:suppressLineNumbers/>
              <w:bidi w:val="0"/>
              <w:jc w:val="start"/>
              <w:rPr/>
            </w:pPr>
            <w:r>
              <w:rPr/>
              <w:t>Role-scoped campus/report/reception controls exist</w:t>
            </w:r>
          </w:p>
        </w:tc>
        <w:tc>
          <w:tcPr>
            <w:tcW w:w="3177" w:type="dxa"/>
            <w:tcBorders/>
            <w:vAlign w:val="center"/>
          </w:tcPr>
          <w:p>
            <w:pPr>
              <w:pStyle w:val="TableContents"/>
              <w:widowControl w:val="false"/>
              <w:suppressLineNumbers/>
              <w:bidi w:val="0"/>
              <w:jc w:val="start"/>
              <w:rPr/>
            </w:pPr>
            <w:r>
              <w:rPr/>
              <w:t>Quarterly review of privileged accounts, staff paths and integrations; inactive access removed within two working days</w:t>
            </w:r>
          </w:p>
        </w:tc>
        <w:tc>
          <w:tcPr>
            <w:tcW w:w="2289" w:type="dxa"/>
            <w:tcBorders/>
            <w:vAlign w:val="center"/>
          </w:tcPr>
          <w:p>
            <w:pPr>
              <w:pStyle w:val="TableContents"/>
              <w:widowControl w:val="false"/>
              <w:suppressLineNumbers/>
              <w:bidi w:val="0"/>
              <w:jc w:val="start"/>
              <w:rPr/>
            </w:pPr>
            <w:r>
              <w:rPr/>
              <w:t>Administration + ICT</w:t>
            </w:r>
          </w:p>
        </w:tc>
      </w:tr>
    </w:tbl>
    <w:p>
      <w:pPr>
        <w:pStyle w:val="Heading2"/>
        <w:bidi w:val="0"/>
        <w:jc w:val="start"/>
        <w:rPr/>
      </w:pPr>
      <w:r>
        <w:rPr/>
        <w:t>Objective 7 — Use the Toolkit brand and poster library consistently</w:t>
      </w:r>
    </w:p>
    <w:p>
      <w:pPr>
        <w:pStyle w:val="BodyText"/>
        <w:bidi w:val="0"/>
        <w:jc w:val="start"/>
        <w:rPr/>
      </w:pPr>
      <w:r>
        <w:rPr>
          <w:rStyle w:val="Strong"/>
        </w:rPr>
        <w:t>Outcome:</w:t>
      </w:r>
      <w:r>
        <w:rPr/>
        <w:t xml:space="preserve"> Public, print and learning communications look like one institution and approved campaign work can be reused without losing editable sources.</w:t>
      </w:r>
    </w:p>
    <w:tbl>
      <w:tblPr>
        <w:tblW w:w="9866" w:type="dxa"/>
        <w:jc w:val="start"/>
        <w:tblInd w:w="0" w:type="dxa"/>
        <w:tblLayout w:type="fixed"/>
        <w:tblCellMar>
          <w:top w:w="28" w:type="dxa"/>
          <w:start w:w="28" w:type="dxa"/>
          <w:bottom w:w="28" w:type="dxa"/>
          <w:end w:w="28" w:type="dxa"/>
        </w:tblCellMar>
      </w:tblPr>
      <w:tblGrid>
        <w:gridCol w:w="1660"/>
        <w:gridCol w:w="2547"/>
        <w:gridCol w:w="3115"/>
        <w:gridCol w:w="2544"/>
      </w:tblGrid>
      <w:tr>
        <w:trPr>
          <w:tblHeader w:val="true"/>
        </w:trPr>
        <w:tc>
          <w:tcPr>
            <w:tcW w:w="1660" w:type="dxa"/>
            <w:tcBorders/>
            <w:vAlign w:val="center"/>
          </w:tcPr>
          <w:p>
            <w:pPr>
              <w:pStyle w:val="TableHeading"/>
              <w:suppressLineNumbers/>
              <w:shd w:fill="33594B" w:val="clear"/>
              <w:bidi w:val="0"/>
              <w:jc w:val="start"/>
              <w:rPr/>
            </w:pPr>
            <w:r>
              <w:rPr/>
              <w:t>Key result</w:t>
            </w:r>
          </w:p>
        </w:tc>
        <w:tc>
          <w:tcPr>
            <w:tcW w:w="2547" w:type="dxa"/>
            <w:tcBorders/>
            <w:vAlign w:val="center"/>
          </w:tcPr>
          <w:p>
            <w:pPr>
              <w:pStyle w:val="TableHeading"/>
              <w:suppressLineNumbers/>
              <w:shd w:fill="33594B" w:val="clear"/>
              <w:bidi w:val="0"/>
              <w:jc w:val="start"/>
              <w:rPr/>
            </w:pPr>
            <w:r>
              <w:rPr/>
              <w:t>Baseline / evidence</w:t>
            </w:r>
          </w:p>
        </w:tc>
        <w:tc>
          <w:tcPr>
            <w:tcW w:w="3115" w:type="dxa"/>
            <w:tcBorders/>
            <w:vAlign w:val="center"/>
          </w:tcPr>
          <w:p>
            <w:pPr>
              <w:pStyle w:val="TableHeading"/>
              <w:suppressLineNumbers/>
              <w:shd w:fill="33594B" w:val="clear"/>
              <w:bidi w:val="0"/>
              <w:jc w:val="start"/>
              <w:rPr/>
            </w:pPr>
            <w:r>
              <w:rPr/>
              <w:t>Target by July 2027</w:t>
            </w:r>
          </w:p>
        </w:tc>
        <w:tc>
          <w:tcPr>
            <w:tcW w:w="2544" w:type="dxa"/>
            <w:tcBorders/>
            <w:vAlign w:val="center"/>
          </w:tcPr>
          <w:p>
            <w:pPr>
              <w:pStyle w:val="TableHeading"/>
              <w:suppressLineNumbers/>
              <w:shd w:fill="33594B" w:val="clear"/>
              <w:bidi w:val="0"/>
              <w:jc w:val="start"/>
              <w:rPr/>
            </w:pPr>
            <w:r>
              <w:rPr/>
              <w:t>Owner / decision</w:t>
            </w:r>
          </w:p>
        </w:tc>
      </w:tr>
      <w:tr>
        <w:trPr/>
        <w:tc>
          <w:tcPr>
            <w:tcW w:w="1660" w:type="dxa"/>
            <w:tcBorders/>
            <w:vAlign w:val="center"/>
          </w:tcPr>
          <w:p>
            <w:pPr>
              <w:pStyle w:val="TableContents"/>
              <w:widowControl w:val="false"/>
              <w:suppressLineNumbers/>
              <w:bidi w:val="0"/>
              <w:jc w:val="start"/>
              <w:rPr/>
            </w:pPr>
            <w:r>
              <w:rPr/>
              <w:t>Asset organisation</w:t>
            </w:r>
          </w:p>
        </w:tc>
        <w:tc>
          <w:tcPr>
            <w:tcW w:w="2547" w:type="dxa"/>
            <w:tcBorders/>
            <w:vAlign w:val="center"/>
          </w:tcPr>
          <w:p>
            <w:pPr>
              <w:pStyle w:val="TableContents"/>
              <w:widowControl w:val="false"/>
              <w:suppressLineNumbers/>
              <w:bidi w:val="0"/>
              <w:jc w:val="start"/>
              <w:rPr/>
            </w:pPr>
            <w:r>
              <w:rPr>
                <w:rStyle w:val="SourceText"/>
              </w:rPr>
              <w:t>imgs/</w:t>
            </w:r>
            <w:r>
              <w:rPr/>
              <w:t xml:space="preserve"> contains 172 files (~622 MB), including 128 poster files and editable XCF sources</w:t>
            </w:r>
          </w:p>
        </w:tc>
        <w:tc>
          <w:tcPr>
            <w:tcW w:w="3115" w:type="dxa"/>
            <w:tcBorders/>
            <w:vAlign w:val="center"/>
          </w:tcPr>
          <w:p>
            <w:pPr>
              <w:pStyle w:val="TableContents"/>
              <w:widowControl w:val="false"/>
              <w:suppressLineNumbers/>
              <w:bidi w:val="0"/>
              <w:jc w:val="start"/>
              <w:rPr/>
            </w:pPr>
            <w:r>
              <w:rPr/>
              <w:t>100% of approved campaign assets indexed with purpose, status and source format</w:t>
            </w:r>
          </w:p>
        </w:tc>
        <w:tc>
          <w:tcPr>
            <w:tcW w:w="2544" w:type="dxa"/>
            <w:tcBorders/>
            <w:vAlign w:val="center"/>
          </w:tcPr>
          <w:p>
            <w:pPr>
              <w:pStyle w:val="TableContents"/>
              <w:widowControl w:val="false"/>
              <w:suppressLineNumbers/>
              <w:bidi w:val="0"/>
              <w:jc w:val="start"/>
              <w:rPr/>
            </w:pPr>
            <w:r>
              <w:rPr/>
              <w:t>Communications; approve asset naming/index owner</w:t>
            </w:r>
          </w:p>
        </w:tc>
      </w:tr>
      <w:tr>
        <w:trPr/>
        <w:tc>
          <w:tcPr>
            <w:tcW w:w="1660" w:type="dxa"/>
            <w:tcBorders/>
            <w:vAlign w:val="center"/>
          </w:tcPr>
          <w:p>
            <w:pPr>
              <w:pStyle w:val="TableContents"/>
              <w:widowControl w:val="false"/>
              <w:suppressLineNumbers/>
              <w:bidi w:val="0"/>
              <w:jc w:val="start"/>
              <w:rPr/>
            </w:pPr>
            <w:r>
              <w:rPr/>
              <w:t>Brand compliance</w:t>
            </w:r>
          </w:p>
        </w:tc>
        <w:tc>
          <w:tcPr>
            <w:tcW w:w="2547" w:type="dxa"/>
            <w:tcBorders/>
            <w:vAlign w:val="center"/>
          </w:tcPr>
          <w:p>
            <w:pPr>
              <w:pStyle w:val="TableContents"/>
              <w:widowControl w:val="false"/>
              <w:suppressLineNumbers/>
              <w:bidi w:val="0"/>
              <w:jc w:val="start"/>
              <w:rPr/>
            </w:pPr>
            <w:r>
              <w:rPr/>
              <w:t>Brand registry defines orange, olive, teal, Tahoma and approved logo/photo paths</w:t>
            </w:r>
          </w:p>
        </w:tc>
        <w:tc>
          <w:tcPr>
            <w:tcW w:w="3115" w:type="dxa"/>
            <w:tcBorders/>
            <w:vAlign w:val="center"/>
          </w:tcPr>
          <w:p>
            <w:pPr>
              <w:pStyle w:val="TableContents"/>
              <w:widowControl w:val="false"/>
              <w:suppressLineNumbers/>
              <w:bidi w:val="0"/>
              <w:jc w:val="start"/>
              <w:rPr/>
            </w:pPr>
            <w:r>
              <w:rPr/>
              <w:t>≥</w:t>
            </w:r>
            <w:r>
              <w:rPr/>
              <w:t>95% of sampled public/print outputs pass the brand checklist before release</w:t>
            </w:r>
          </w:p>
        </w:tc>
        <w:tc>
          <w:tcPr>
            <w:tcW w:w="2544" w:type="dxa"/>
            <w:tcBorders/>
            <w:vAlign w:val="center"/>
          </w:tcPr>
          <w:p>
            <w:pPr>
              <w:pStyle w:val="TableContents"/>
              <w:widowControl w:val="false"/>
              <w:suppressLineNumbers/>
              <w:bidi w:val="0"/>
              <w:jc w:val="start"/>
              <w:rPr/>
            </w:pPr>
            <w:r>
              <w:rPr/>
              <w:t>Communications</w:t>
            </w:r>
          </w:p>
        </w:tc>
      </w:tr>
      <w:tr>
        <w:trPr/>
        <w:tc>
          <w:tcPr>
            <w:tcW w:w="1660" w:type="dxa"/>
            <w:tcBorders/>
            <w:vAlign w:val="center"/>
          </w:tcPr>
          <w:p>
            <w:pPr>
              <w:pStyle w:val="TableContents"/>
              <w:widowControl w:val="false"/>
              <w:suppressLineNumbers/>
              <w:bidi w:val="0"/>
              <w:jc w:val="start"/>
              <w:rPr/>
            </w:pPr>
            <w:r>
              <w:rPr/>
              <w:t>Reuse and release readiness</w:t>
            </w:r>
          </w:p>
        </w:tc>
        <w:tc>
          <w:tcPr>
            <w:tcW w:w="2547" w:type="dxa"/>
            <w:tcBorders/>
            <w:vAlign w:val="center"/>
          </w:tcPr>
          <w:p>
            <w:pPr>
              <w:pStyle w:val="TableContents"/>
              <w:widowControl w:val="false"/>
              <w:suppressLineNumbers/>
              <w:bidi w:val="0"/>
              <w:jc w:val="start"/>
              <w:rPr/>
            </w:pPr>
            <w:r>
              <w:rPr/>
              <w:t>Catalogue, prospectus, posters, testimonials and campaign materials are retained</w:t>
            </w:r>
          </w:p>
        </w:tc>
        <w:tc>
          <w:tcPr>
            <w:tcW w:w="3115" w:type="dxa"/>
            <w:tcBorders/>
            <w:vAlign w:val="center"/>
          </w:tcPr>
          <w:p>
            <w:pPr>
              <w:pStyle w:val="TableContents"/>
              <w:widowControl w:val="false"/>
              <w:suppressLineNumbers/>
              <w:bidi w:val="0"/>
              <w:jc w:val="start"/>
              <w:rPr/>
            </w:pPr>
            <w:r>
              <w:rPr/>
              <w:t>Every campaign release includes web, print/social and editable-source handoff where applicable</w:t>
            </w:r>
          </w:p>
        </w:tc>
        <w:tc>
          <w:tcPr>
            <w:tcW w:w="2544" w:type="dxa"/>
            <w:tcBorders/>
            <w:vAlign w:val="center"/>
          </w:tcPr>
          <w:p>
            <w:pPr>
              <w:pStyle w:val="TableContents"/>
              <w:widowControl w:val="false"/>
              <w:suppressLineNumbers/>
              <w:bidi w:val="0"/>
              <w:jc w:val="start"/>
              <w:rPr/>
            </w:pPr>
            <w:r>
              <w:rPr/>
              <w:t>Communications + ICT</w:t>
            </w:r>
          </w:p>
        </w:tc>
      </w:tr>
    </w:tbl>
    <w:p>
      <w:pPr>
        <w:pStyle w:val="Heading2"/>
        <w:bidi w:val="0"/>
        <w:jc w:val="start"/>
        <w:rPr/>
      </w:pPr>
      <w:r>
        <w:rPr/>
        <w:t>Objective 8 — Operate a calm, auditable delivery process</w:t>
      </w:r>
    </w:p>
    <w:p>
      <w:pPr>
        <w:pStyle w:val="BodyText"/>
        <w:bidi w:val="0"/>
        <w:jc w:val="start"/>
        <w:rPr/>
      </w:pPr>
      <w:r>
        <w:rPr>
          <w:rStyle w:val="Strong"/>
        </w:rPr>
        <w:t>Outcome:</w:t>
      </w:r>
      <w:r>
        <w:rPr/>
        <w:t xml:space="preserve"> Changes reach users through repeatable checks, with clear ownership and no disruptive browser-click deployment.</w:t>
      </w:r>
    </w:p>
    <w:tbl>
      <w:tblPr>
        <w:tblW w:w="9866" w:type="dxa"/>
        <w:jc w:val="start"/>
        <w:tblInd w:w="0" w:type="dxa"/>
        <w:tblLayout w:type="fixed"/>
        <w:tblCellMar>
          <w:top w:w="28" w:type="dxa"/>
          <w:start w:w="28" w:type="dxa"/>
          <w:bottom w:w="28" w:type="dxa"/>
          <w:end w:w="28" w:type="dxa"/>
        </w:tblCellMar>
      </w:tblPr>
      <w:tblGrid>
        <w:gridCol w:w="1898"/>
        <w:gridCol w:w="3317"/>
        <w:gridCol w:w="3030"/>
        <w:gridCol w:w="1621"/>
      </w:tblGrid>
      <w:tr>
        <w:trPr>
          <w:tblHeader w:val="true"/>
        </w:trPr>
        <w:tc>
          <w:tcPr>
            <w:tcW w:w="1898" w:type="dxa"/>
            <w:tcBorders/>
            <w:vAlign w:val="center"/>
          </w:tcPr>
          <w:p>
            <w:pPr>
              <w:pStyle w:val="TableHeading"/>
              <w:suppressLineNumbers/>
              <w:shd w:fill="33594B" w:val="clear"/>
              <w:bidi w:val="0"/>
              <w:jc w:val="start"/>
              <w:rPr/>
            </w:pPr>
            <w:r>
              <w:rPr/>
              <w:t>Key result</w:t>
            </w:r>
          </w:p>
        </w:tc>
        <w:tc>
          <w:tcPr>
            <w:tcW w:w="3317" w:type="dxa"/>
            <w:tcBorders/>
            <w:vAlign w:val="center"/>
          </w:tcPr>
          <w:p>
            <w:pPr>
              <w:pStyle w:val="TableHeading"/>
              <w:suppressLineNumbers/>
              <w:shd w:fill="33594B" w:val="clear"/>
              <w:bidi w:val="0"/>
              <w:jc w:val="start"/>
              <w:rPr/>
            </w:pPr>
            <w:r>
              <w:rPr/>
              <w:t>Baseline / evidence</w:t>
            </w:r>
          </w:p>
        </w:tc>
        <w:tc>
          <w:tcPr>
            <w:tcW w:w="3030" w:type="dxa"/>
            <w:tcBorders/>
            <w:vAlign w:val="center"/>
          </w:tcPr>
          <w:p>
            <w:pPr>
              <w:pStyle w:val="TableHeading"/>
              <w:suppressLineNumbers/>
              <w:shd w:fill="33594B" w:val="clear"/>
              <w:bidi w:val="0"/>
              <w:jc w:val="start"/>
              <w:rPr/>
            </w:pPr>
            <w:r>
              <w:rPr/>
              <w:t>Target by July 2027</w:t>
            </w:r>
          </w:p>
        </w:tc>
        <w:tc>
          <w:tcPr>
            <w:tcW w:w="1621" w:type="dxa"/>
            <w:tcBorders/>
            <w:vAlign w:val="center"/>
          </w:tcPr>
          <w:p>
            <w:pPr>
              <w:pStyle w:val="TableHeading"/>
              <w:suppressLineNumbers/>
              <w:shd w:fill="33594B" w:val="clear"/>
              <w:bidi w:val="0"/>
              <w:jc w:val="start"/>
              <w:rPr/>
            </w:pPr>
            <w:r>
              <w:rPr/>
              <w:t>Owner / decision</w:t>
            </w:r>
          </w:p>
        </w:tc>
      </w:tr>
      <w:tr>
        <w:trPr/>
        <w:tc>
          <w:tcPr>
            <w:tcW w:w="1898" w:type="dxa"/>
            <w:tcBorders/>
            <w:vAlign w:val="center"/>
          </w:tcPr>
          <w:p>
            <w:pPr>
              <w:pStyle w:val="TableContents"/>
              <w:widowControl w:val="false"/>
              <w:suppressLineNumbers/>
              <w:bidi w:val="0"/>
              <w:jc w:val="start"/>
              <w:rPr/>
            </w:pPr>
            <w:r>
              <w:rPr/>
              <w:t>Demo-first release discipline</w:t>
            </w:r>
          </w:p>
        </w:tc>
        <w:tc>
          <w:tcPr>
            <w:tcW w:w="3317" w:type="dxa"/>
            <w:tcBorders/>
            <w:vAlign w:val="center"/>
          </w:tcPr>
          <w:p>
            <w:pPr>
              <w:pStyle w:val="TableContents"/>
              <w:widowControl w:val="false"/>
              <w:suppressLineNumbers/>
              <w:bidi w:val="0"/>
              <w:jc w:val="start"/>
              <w:rPr/>
            </w:pPr>
            <w:r>
              <w:rPr/>
              <w:t>Reception and WordPress deployment procedures are documented; Report System modules are local-only</w:t>
            </w:r>
          </w:p>
        </w:tc>
        <w:tc>
          <w:tcPr>
            <w:tcW w:w="3030" w:type="dxa"/>
            <w:tcBorders/>
            <w:vAlign w:val="center"/>
          </w:tcPr>
          <w:p>
            <w:pPr>
              <w:pStyle w:val="TableContents"/>
              <w:widowControl w:val="false"/>
              <w:suppressLineNumbers/>
              <w:bidi w:val="0"/>
              <w:jc w:val="start"/>
              <w:rPr/>
            </w:pPr>
            <w:r>
              <w:rPr/>
              <w:t>100% of production releases have a demo result, backup reference and post-release route check</w:t>
            </w:r>
          </w:p>
        </w:tc>
        <w:tc>
          <w:tcPr>
            <w:tcW w:w="1621" w:type="dxa"/>
            <w:tcBorders/>
            <w:vAlign w:val="center"/>
          </w:tcPr>
          <w:p>
            <w:pPr>
              <w:pStyle w:val="TableContents"/>
              <w:widowControl w:val="false"/>
              <w:suppressLineNumbers/>
              <w:bidi w:val="0"/>
              <w:jc w:val="start"/>
              <w:rPr/>
            </w:pPr>
            <w:r>
              <w:rPr/>
              <w:t>ICT</w:t>
            </w:r>
          </w:p>
        </w:tc>
      </w:tr>
      <w:tr>
        <w:trPr/>
        <w:tc>
          <w:tcPr>
            <w:tcW w:w="1898" w:type="dxa"/>
            <w:tcBorders/>
            <w:vAlign w:val="center"/>
          </w:tcPr>
          <w:p>
            <w:pPr>
              <w:pStyle w:val="TableContents"/>
              <w:widowControl w:val="false"/>
              <w:suppressLineNumbers/>
              <w:bidi w:val="0"/>
              <w:jc w:val="start"/>
              <w:rPr/>
            </w:pPr>
            <w:r>
              <w:rPr/>
              <w:t>Portfolio ownership</w:t>
            </w:r>
          </w:p>
        </w:tc>
        <w:tc>
          <w:tcPr>
            <w:tcW w:w="3317" w:type="dxa"/>
            <w:tcBorders/>
            <w:vAlign w:val="center"/>
          </w:tcPr>
          <w:p>
            <w:pPr>
              <w:pStyle w:val="TableContents"/>
              <w:widowControl w:val="false"/>
              <w:suppressLineNumbers/>
              <w:bidi w:val="0"/>
              <w:jc w:val="start"/>
              <w:rPr/>
            </w:pPr>
            <w:r>
              <w:rPr/>
              <w:t>Owner trackers exist for Reception, Virtual Campus, Report System and Wingu decisions</w:t>
            </w:r>
          </w:p>
        </w:tc>
        <w:tc>
          <w:tcPr>
            <w:tcW w:w="3030" w:type="dxa"/>
            <w:tcBorders/>
            <w:vAlign w:val="center"/>
          </w:tcPr>
          <w:p>
            <w:pPr>
              <w:pStyle w:val="TableContents"/>
              <w:widowControl w:val="false"/>
              <w:suppressLineNumbers/>
              <w:bidi w:val="0"/>
              <w:jc w:val="start"/>
              <w:rPr/>
            </w:pPr>
            <w:r>
              <w:rPr/>
              <w:t>100% of open launch blockers have an owner and next action reviewed monthly</w:t>
            </w:r>
          </w:p>
        </w:tc>
        <w:tc>
          <w:tcPr>
            <w:tcW w:w="1621" w:type="dxa"/>
            <w:tcBorders/>
            <w:vAlign w:val="center"/>
          </w:tcPr>
          <w:p>
            <w:pPr>
              <w:pStyle w:val="TableContents"/>
              <w:widowControl w:val="false"/>
              <w:suppressLineNumbers/>
              <w:bidi w:val="0"/>
              <w:jc w:val="start"/>
              <w:rPr/>
            </w:pPr>
            <w:r>
              <w:rPr/>
              <w:t>Management</w:t>
            </w:r>
          </w:p>
        </w:tc>
      </w:tr>
      <w:tr>
        <w:trPr/>
        <w:tc>
          <w:tcPr>
            <w:tcW w:w="1898" w:type="dxa"/>
            <w:tcBorders/>
            <w:vAlign w:val="center"/>
          </w:tcPr>
          <w:p>
            <w:pPr>
              <w:pStyle w:val="TableContents"/>
              <w:widowControl w:val="false"/>
              <w:suppressLineNumbers/>
              <w:bidi w:val="0"/>
              <w:jc w:val="start"/>
              <w:rPr/>
            </w:pPr>
            <w:r>
              <w:rPr/>
              <w:t>Operational documentation</w:t>
            </w:r>
          </w:p>
        </w:tc>
        <w:tc>
          <w:tcPr>
            <w:tcW w:w="3317" w:type="dxa"/>
            <w:tcBorders/>
            <w:vAlign w:val="center"/>
          </w:tcPr>
          <w:p>
            <w:pPr>
              <w:pStyle w:val="TableContents"/>
              <w:widowControl w:val="false"/>
              <w:suppressLineNumbers/>
              <w:bidi w:val="0"/>
              <w:jc w:val="start"/>
              <w:rPr/>
            </w:pPr>
            <w:r>
              <w:rPr/>
              <w:t>Whole-toolkit briefing, presentation summary, training guides and worklogs exist</w:t>
            </w:r>
          </w:p>
        </w:tc>
        <w:tc>
          <w:tcPr>
            <w:tcW w:w="3030" w:type="dxa"/>
            <w:tcBorders/>
            <w:vAlign w:val="center"/>
          </w:tcPr>
          <w:p>
            <w:pPr>
              <w:pStyle w:val="TableContents"/>
              <w:widowControl w:val="false"/>
              <w:suppressLineNumbers/>
              <w:bidi w:val="0"/>
              <w:jc w:val="start"/>
              <w:rPr/>
            </w:pPr>
            <w:r>
              <w:rPr/>
              <w:t>Every production system has an operator guide, rollback note and current status page</w:t>
            </w:r>
          </w:p>
        </w:tc>
        <w:tc>
          <w:tcPr>
            <w:tcW w:w="1621" w:type="dxa"/>
            <w:tcBorders/>
            <w:vAlign w:val="center"/>
          </w:tcPr>
          <w:p>
            <w:pPr>
              <w:pStyle w:val="TableContents"/>
              <w:widowControl w:val="false"/>
              <w:suppressLineNumbers/>
              <w:bidi w:val="0"/>
              <w:jc w:val="start"/>
              <w:rPr/>
            </w:pPr>
            <w:r>
              <w:rPr/>
              <w:t>ICT + system owners</w:t>
            </w:r>
          </w:p>
        </w:tc>
      </w:tr>
    </w:tbl>
    <w:p>
      <w:pPr>
        <w:pStyle w:val="Heading2"/>
        <w:bidi w:val="0"/>
        <w:jc w:val="start"/>
        <w:rPr/>
      </w:pPr>
      <w:r>
        <w:rPr/>
        <w:t>First-quarter priorities (August–October 2026)</w:t>
      </w:r>
    </w:p>
    <w:p>
      <w:pPr>
        <w:pStyle w:val="BodyText"/>
        <w:numPr>
          <w:ilvl w:val="0"/>
          <w:numId w:val="1"/>
        </w:numPr>
        <w:tabs>
          <w:tab w:val="clear" w:pos="709"/>
          <w:tab w:val="left" w:pos="809" w:leader="none"/>
        </w:tabs>
        <w:bidi w:val="0"/>
        <w:spacing w:before="100" w:after="0"/>
        <w:ind w:hanging="283" w:start="809"/>
        <w:jc w:val="start"/>
        <w:rPr/>
      </w:pPr>
      <w:r>
        <w:rPr/>
        <w:t xml:space="preserve">Assign named owners and confirm the operating denominator for each finalized key result in the Report System. </w:t>
      </w:r>
    </w:p>
    <w:p>
      <w:pPr>
        <w:pStyle w:val="BodyText"/>
        <w:numPr>
          <w:ilvl w:val="0"/>
          <w:numId w:val="1"/>
        </w:numPr>
        <w:tabs>
          <w:tab w:val="clear" w:pos="709"/>
          <w:tab w:val="left" w:pos="809" w:leader="none"/>
        </w:tabs>
        <w:bidi w:val="0"/>
        <w:spacing w:before="100" w:after="0"/>
        <w:ind w:hanging="283" w:start="809"/>
        <w:jc w:val="start"/>
        <w:rPr/>
      </w:pPr>
      <w:r>
        <w:rPr/>
        <w:t xml:space="preserve">Review the new Report System modules locally, then make a controlled demo deployment decision. </w:t>
      </w:r>
    </w:p>
    <w:p>
      <w:pPr>
        <w:pStyle w:val="BodyText"/>
        <w:numPr>
          <w:ilvl w:val="0"/>
          <w:numId w:val="1"/>
        </w:numPr>
        <w:tabs>
          <w:tab w:val="clear" w:pos="709"/>
          <w:tab w:val="left" w:pos="809" w:leader="none"/>
        </w:tabs>
        <w:bidi w:val="0"/>
        <w:spacing w:before="100" w:after="0"/>
        <w:ind w:hanging="283" w:start="809"/>
        <w:jc w:val="start"/>
        <w:rPr/>
      </w:pPr>
      <w:r>
        <w:rPr/>
        <w:t xml:space="preserve">Provide the approved attendance-sheet format and rejected-Wingu-row owner; capture one authenticated Wingu review session without submitting data. </w:t>
      </w:r>
    </w:p>
    <w:p>
      <w:pPr>
        <w:pStyle w:val="BodyText"/>
        <w:numPr>
          <w:ilvl w:val="0"/>
          <w:numId w:val="1"/>
        </w:numPr>
        <w:tabs>
          <w:tab w:val="clear" w:pos="709"/>
          <w:tab w:val="left" w:pos="809" w:leader="none"/>
        </w:tabs>
        <w:bidi w:val="0"/>
        <w:spacing w:before="100" w:after="0"/>
        <w:ind w:hanging="283" w:start="809"/>
        <w:jc w:val="start"/>
        <w:rPr/>
      </w:pPr>
      <w:r>
        <w:rPr/>
        <w:t xml:space="preserve">Approve the Virtual Campus pilot cohort, hosting and live-video arrangements. </w:t>
      </w:r>
    </w:p>
    <w:p>
      <w:pPr>
        <w:pStyle w:val="BodyText"/>
        <w:numPr>
          <w:ilvl w:val="0"/>
          <w:numId w:val="1"/>
        </w:numPr>
        <w:tabs>
          <w:tab w:val="clear" w:pos="709"/>
          <w:tab w:val="left" w:pos="809" w:leader="none"/>
        </w:tabs>
        <w:bidi w:val="0"/>
        <w:spacing w:before="100" w:after="0"/>
        <w:ind w:hanging="283" w:start="809"/>
        <w:jc w:val="start"/>
        <w:rPr/>
      </w:pPr>
      <w:r>
        <w:rPr/>
        <w:t xml:space="preserve">Complete the patched WordPress theme demo review and the Reception WhatsApp delivery ownership decision. </w:t>
      </w:r>
    </w:p>
    <w:p>
      <w:pPr>
        <w:pStyle w:val="BodyText"/>
        <w:numPr>
          <w:ilvl w:val="0"/>
          <w:numId w:val="1"/>
        </w:numPr>
        <w:tabs>
          <w:tab w:val="clear" w:pos="709"/>
          <w:tab w:val="left" w:pos="809" w:leader="none"/>
        </w:tabs>
        <w:bidi w:val="0"/>
        <w:ind w:hanging="283" w:start="809"/>
        <w:jc w:val="start"/>
        <w:rPr/>
      </w:pPr>
      <w:r>
        <w:rPr/>
        <w:t xml:space="preserve">Index the poster library and mark approved versus source-only assets. </w:t>
      </w:r>
    </w:p>
    <w:p>
      <w:pPr>
        <w:pStyle w:val="Heading2"/>
        <w:bidi w:val="0"/>
        <w:jc w:val="start"/>
        <w:rPr/>
      </w:pPr>
      <w:r>
        <w:rPr/>
        <w:t>Portfolio evidence</w:t>
      </w:r>
    </w:p>
    <w:p>
      <w:pPr>
        <w:pStyle w:val="BodyText"/>
        <w:numPr>
          <w:ilvl w:val="0"/>
          <w:numId w:val="2"/>
        </w:numPr>
        <w:tabs>
          <w:tab w:val="clear" w:pos="709"/>
          <w:tab w:val="left" w:pos="809" w:leader="none"/>
        </w:tabs>
        <w:bidi w:val="0"/>
        <w:spacing w:before="100" w:after="0"/>
        <w:ind w:hanging="283" w:start="809"/>
        <w:jc w:val="start"/>
        <w:rPr/>
      </w:pPr>
      <w:r>
        <w:rPr/>
        <w:t xml:space="preserve">Whole-toolkit status: </w:t>
      </w:r>
      <w:r>
        <w:rPr>
          <w:rStyle w:val="SourceText"/>
        </w:rPr>
        <w:t>wordpress/docs/TOOLKIT-BRIEFING-2026-08-28.md</w:t>
      </w:r>
      <w:r>
        <w:rPr/>
        <w:t xml:space="preserve"> </w:t>
      </w:r>
    </w:p>
    <w:p>
      <w:pPr>
        <w:pStyle w:val="BodyText"/>
        <w:numPr>
          <w:ilvl w:val="0"/>
          <w:numId w:val="2"/>
        </w:numPr>
        <w:tabs>
          <w:tab w:val="clear" w:pos="709"/>
          <w:tab w:val="left" w:pos="809" w:leader="none"/>
        </w:tabs>
        <w:bidi w:val="0"/>
        <w:spacing w:before="100" w:after="0"/>
        <w:ind w:hanging="283" w:start="809"/>
        <w:jc w:val="start"/>
        <w:rPr/>
      </w:pPr>
      <w:r>
        <w:rPr/>
        <w:t xml:space="preserve">Non-technical speaking notes: </w:t>
      </w:r>
      <w:r>
        <w:rPr>
          <w:rStyle w:val="SourceText"/>
        </w:rPr>
        <w:t>wordpress/docs/TOOLKIT-PRESENTATION-SUMMARY-2026-08-28.md</w:t>
      </w:r>
      <w:r>
        <w:rPr/>
        <w:t xml:space="preserve"> </w:t>
      </w:r>
    </w:p>
    <w:p>
      <w:pPr>
        <w:pStyle w:val="BodyText"/>
        <w:numPr>
          <w:ilvl w:val="0"/>
          <w:numId w:val="2"/>
        </w:numPr>
        <w:tabs>
          <w:tab w:val="clear" w:pos="709"/>
          <w:tab w:val="left" w:pos="809" w:leader="none"/>
        </w:tabs>
        <w:bidi w:val="0"/>
        <w:spacing w:before="100" w:after="0"/>
        <w:ind w:hanging="283" w:start="809"/>
        <w:jc w:val="start"/>
        <w:rPr/>
      </w:pPr>
      <w:r>
        <w:rPr/>
        <w:t xml:space="preserve">Reception owner inputs: </w:t>
      </w:r>
      <w:r>
        <w:rPr>
          <w:rStyle w:val="SourceText"/>
        </w:rPr>
        <w:t>reception-system/docs/OWNER_INPUT_TRACKER.md</w:t>
      </w:r>
      <w:r>
        <w:rPr/>
        <w:t xml:space="preserve"> </w:t>
      </w:r>
    </w:p>
    <w:p>
      <w:pPr>
        <w:pStyle w:val="BodyText"/>
        <w:numPr>
          <w:ilvl w:val="0"/>
          <w:numId w:val="2"/>
        </w:numPr>
        <w:tabs>
          <w:tab w:val="clear" w:pos="709"/>
          <w:tab w:val="left" w:pos="809" w:leader="none"/>
        </w:tabs>
        <w:bidi w:val="0"/>
        <w:spacing w:before="100" w:after="0"/>
        <w:ind w:hanging="283" w:start="809"/>
        <w:jc w:val="start"/>
        <w:rPr/>
      </w:pPr>
      <w:r>
        <w:rPr/>
        <w:t xml:space="preserve">Virtual Campus owner inputs: </w:t>
      </w:r>
      <w:r>
        <w:rPr>
          <w:rStyle w:val="SourceText"/>
        </w:rPr>
        <w:t>SmartLecturer_VirtualCampus/virtual-campus/docs/OWNER_INPUT_TRACKER.md</w:t>
      </w:r>
      <w:r>
        <w:rPr/>
        <w:t xml:space="preserve"> </w:t>
      </w:r>
    </w:p>
    <w:p>
      <w:pPr>
        <w:pStyle w:val="BodyText"/>
        <w:numPr>
          <w:ilvl w:val="0"/>
          <w:numId w:val="2"/>
        </w:numPr>
        <w:tabs>
          <w:tab w:val="clear" w:pos="709"/>
          <w:tab w:val="left" w:pos="809" w:leader="none"/>
        </w:tabs>
        <w:bidi w:val="0"/>
        <w:spacing w:before="100" w:after="0"/>
        <w:ind w:hanging="283" w:start="809"/>
        <w:jc w:val="start"/>
        <w:rPr/>
      </w:pPr>
      <w:r>
        <w:rPr/>
        <w:t xml:space="preserve">Report System owner inputs: </w:t>
      </w:r>
      <w:r>
        <w:rPr>
          <w:rStyle w:val="SourceText"/>
        </w:rPr>
        <w:t>report-system/OWNER_INPUT_TRACKER.md</w:t>
      </w:r>
      <w:r>
        <w:rPr/>
        <w:t xml:space="preserve"> </w:t>
      </w:r>
    </w:p>
    <w:p>
      <w:pPr>
        <w:pStyle w:val="BodyText"/>
        <w:numPr>
          <w:ilvl w:val="0"/>
          <w:numId w:val="2"/>
        </w:numPr>
        <w:tabs>
          <w:tab w:val="clear" w:pos="709"/>
          <w:tab w:val="left" w:pos="809" w:leader="none"/>
        </w:tabs>
        <w:bidi w:val="0"/>
        <w:spacing w:before="100" w:after="0"/>
        <w:ind w:hanging="283" w:start="809"/>
        <w:jc w:val="start"/>
        <w:rPr/>
      </w:pPr>
      <w:r>
        <w:rPr/>
        <w:t xml:space="preserve">Report System/Wingu design: </w:t>
      </w:r>
      <w:r>
        <w:rPr>
          <w:rStyle w:val="SourceText"/>
        </w:rPr>
        <w:t>report-system/WINGU_BOX_INTEGRATION_DESIGN.md</w:t>
      </w:r>
      <w:r>
        <w:rPr/>
        <w:t xml:space="preserve"> </w:t>
      </w:r>
    </w:p>
    <w:p>
      <w:pPr>
        <w:pStyle w:val="BodyText"/>
        <w:numPr>
          <w:ilvl w:val="0"/>
          <w:numId w:val="2"/>
        </w:numPr>
        <w:tabs>
          <w:tab w:val="clear" w:pos="709"/>
          <w:tab w:val="left" w:pos="809" w:leader="none"/>
        </w:tabs>
        <w:bidi w:val="0"/>
        <w:spacing w:before="100" w:after="160"/>
        <w:ind w:hanging="283" w:start="809"/>
        <w:jc w:val="start"/>
        <w:rPr/>
      </w:pPr>
      <w:r>
        <w:rPr/>
        <w:t xml:space="preserve">Working OKR register: Report System </w:t>
      </w:r>
      <w:r>
        <w:rPr>
          <w:rStyle w:val="SourceText"/>
        </w:rPr>
        <w:t>/okrs</w:t>
      </w:r>
      <w:r>
        <w:rPr/>
        <w:t xml:space="preserve"> module (local review currently at </w:t>
      </w:r>
      <w:r>
        <w:rPr>
          <w:rStyle w:val="SourceText"/>
        </w:rPr>
        <w:t>http://127.0.0.1:5155/okrs</w:t>
      </w:r>
      <w:r>
        <w:rPr/>
        <w:t xml:space="preserve">) </w:t>
      </w:r>
    </w:p>
    <w:sectPr>
      <w:type w:val="nextPage"/>
      <w:pgSz w:w="11906" w:h="16838"/>
      <w:pgMar w:left="1020" w:right="1020" w:gutter="0" w:header="0" w:top="1020"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altName w:val="Calibri"/>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ptos;Calibri;Arial;sans-serif" w:hAnsi="Aptos;Calibri;Arial;sans-serif" w:eastAsia="Aptos;Calibri;Arial;sans-serif" w:cs="Aptos;Calibri;Arial;sans-serif"/>
      <w:color w:val="222222"/>
      <w:sz w:val="21"/>
      <w:szCs w:val="21"/>
      <w:lang w:val="en-US" w:eastAsia="zh-CN" w:bidi="hi-IN"/>
    </w:rPr>
  </w:style>
  <w:style w:type="paragraph" w:styleId="Heading1">
    <w:name w:val="heading 1"/>
    <w:basedOn w:val="Heading"/>
    <w:next w:val="BodyText"/>
    <w:qFormat/>
    <w:pPr>
      <w:pBdr>
        <w:bottom w:val="single" w:sz="16" w:space="8" w:color="D76A1F"/>
      </w:pBdr>
      <w:spacing w:before="240" w:after="240"/>
      <w:outlineLvl w:val="0"/>
    </w:pPr>
    <w:rPr>
      <w:rFonts w:ascii="Liberation Serif" w:hAnsi="Liberation Serif" w:eastAsia="Noto Serif CJK SC" w:cs="FreeSans"/>
      <w:b/>
      <w:bCs/>
      <w:color w:val="9A4B14"/>
      <w:sz w:val="46"/>
      <w:szCs w:val="46"/>
    </w:rPr>
  </w:style>
  <w:style w:type="paragraph" w:styleId="Heading2">
    <w:name w:val="heading 2"/>
    <w:basedOn w:val="Heading"/>
    <w:next w:val="BodyText"/>
    <w:qFormat/>
    <w:pPr>
      <w:keepNext w:val="true"/>
      <w:spacing w:before="360" w:after="120"/>
      <w:outlineLvl w:val="1"/>
    </w:pPr>
    <w:rPr>
      <w:rFonts w:ascii="Liberation Serif" w:hAnsi="Liberation Serif" w:eastAsia="Noto Serif CJK SC" w:cs="FreeSans"/>
      <w:b/>
      <w:bCs/>
      <w:color w:val="33594B"/>
      <w:sz w:val="30"/>
      <w:szCs w:val="30"/>
    </w:rPr>
  </w:style>
  <w:style w:type="character" w:styleId="SourceText">
    <w:name w:val="Source Text"/>
    <w:qFormat/>
    <w:rPr>
      <w:rFonts w:ascii="Consolas;monospace" w:hAnsi="Consolas;monospace" w:eastAsia="Consolas;monospace" w:cs="Consolas;monospace"/>
      <w:sz w:val="17"/>
      <w:szCs w:val="17"/>
      <w:shd w:fill="F1F1F1" w:val="clear"/>
    </w:rPr>
  </w:style>
  <w:style w:type="character" w:styleId="Strong">
    <w:name w:val="Strong"/>
    <w:qFormat/>
    <w:rPr>
      <w:b/>
      <w:bCs/>
      <w:color w:val="263D3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100" w:after="160"/>
      <w:ind w:start="100" w:end="10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33594B"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Toolkit OKRs — August 2026 to July 2027</dc:title>
</cp:coreProperties>
</file>

<file path=docProps/custom.xml><?xml version="1.0" encoding="utf-8"?>
<Properties xmlns="http://schemas.openxmlformats.org/officeDocument/2006/custom-properties" xmlns:vt="http://schemas.openxmlformats.org/officeDocument/2006/docPropsVTypes"/>
</file>