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987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Weekly Work Plan</w:t>
      </w:r>
    </w:p>
    <w:p>
      <w:pPr>
        <w:jc w:val="center"/>
      </w:pPr>
      <w:r>
        <w:rPr>
          <w:b/>
          <w:color w:val="FF6600"/>
        </w:rPr>
        <w:t>20-24 JULY 2026</w:t>
      </w:r>
    </w:p>
    <w:p>
      <w:pPr>
        <w:jc w:val="center"/>
      </w:pPr>
      <w:r>
        <w:t>Bulk SMS  |  Posters  |  SEO  |  Content  |  Production Cutover</w:t>
      </w:r>
    </w:p>
    <w:p>
      <w:pPr>
        <w:pStyle w:val="Heading1"/>
      </w:pPr>
      <w:r>
        <w:t>Purpose</w:t>
      </w:r>
    </w:p>
    <w:p>
      <w:r>
        <w:t>Move the accepted demo release toward a controlled main-domain rollout while preparing factual outreach content. Work is gated by data approval, recipient consent, complete backups, demo acceptance, and a tested instant rollback.</w:t>
      </w:r>
    </w:p>
    <w:p>
      <w:pPr>
        <w:pStyle w:val="Heading1"/>
      </w:pPr>
      <w:r>
        <w:t>Verified baseline</w:t>
      </w:r>
    </w:p>
    <w:p>
      <w:pPr>
        <w:pStyle w:val="ListBullet"/>
      </w:pPr>
      <w:r>
        <w:t>The redesign is active on demo.toolkitafrica.ac.ke; the main domain has not been replaced by this release.</w:t>
      </w:r>
    </w:p>
    <w:p>
      <w:pPr>
        <w:pStyle w:val="ListBullet"/>
      </w:pPr>
      <w:r>
        <w:t>Latest recorded mobile audit: performance 84, FCP 1.7 s, LCP 3.1 s, TBT 60 ms, and CLS 0.045.</w:t>
      </w:r>
    </w:p>
    <w:p>
      <w:pPr>
        <w:pStyle w:val="ListBullet"/>
      </w:pPr>
      <w:r>
        <w:t>Organization/Course schema, branded metadata, course FAQs, AI discovery files, and first-party interaction metrics are implemented.</w:t>
      </w:r>
    </w:p>
    <w:p>
      <w:pPr>
        <w:pStyle w:val="ListBullet"/>
      </w:pPr>
      <w:r>
        <w:t>The existing WordPress database, Eduma parent theme, uploads, plugins, posts and Elementor content remain available.</w:t>
      </w:r>
    </w:p>
    <w:p>
      <w:pPr>
        <w:pStyle w:val="ListBullet"/>
      </w:pPr>
      <w:r>
        <w:t>No SMS provider, sender ID, consented recipient list, delivery account, or approved campaign schedule is documented yet.</w:t>
      </w:r>
    </w:p>
    <w:p>
      <w:pPr>
        <w:pStyle w:val="ListBullet"/>
      </w:pPr>
      <w:r>
        <w:t>Poster and training-photo source assets exist, but publication approval is not established for every file.</w:t>
      </w:r>
    </w:p>
    <w:p>
      <w:pPr>
        <w:pStyle w:val="Heading1"/>
      </w:pPr>
      <w:r>
        <w:t>Daily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Primary work</w:t>
            </w:r>
          </w:p>
        </w:tc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Required output</w:t>
            </w:r>
          </w:p>
        </w:tc>
        <w:tc>
          <w:tcPr>
            <w:tcW w:type="dxa" w:w="2556"/>
            <w:shd w:fill="006A68"/>
            <w:vAlign w:val="center"/>
          </w:tcPr>
          <w:p>
            <w:r>
              <w:rPr>
                <w:b/>
                <w:color w:val="FFFFFF"/>
              </w:rPr>
              <w:t>Release gate</w:t>
            </w:r>
          </w:p>
        </w:tc>
      </w:tr>
      <w:tr>
        <w:tc>
          <w:tcPr>
            <w:tcW w:type="dxa" w:w="2556"/>
            <w:vAlign w:val="top"/>
          </w:tcPr>
          <w:p>
            <w:r>
              <w:t>Mon 20</w:t>
            </w:r>
          </w:p>
        </w:tc>
        <w:tc>
          <w:tcPr>
            <w:tcW w:type="dxa" w:w="2556"/>
            <w:vAlign w:val="top"/>
          </w:tcPr>
          <w:p>
            <w:r>
              <w:t>Confirm courses, fees, intakes and campaign audience. Inventory posters. Audit SMS provider, sender, consent and opt-out. Crawl demo.</w:t>
            </w:r>
          </w:p>
        </w:tc>
        <w:tc>
          <w:tcPr>
            <w:tcW w:type="dxa" w:w="2556"/>
            <w:vAlign w:val="top"/>
          </w:tcPr>
          <w:p>
            <w:r>
              <w:t>Approved data sheet, asset inventory, SMS requirements and release manifest.</w:t>
            </w:r>
          </w:p>
        </w:tc>
        <w:tc>
          <w:tcPr>
            <w:tcW w:type="dxa" w:w="2556"/>
            <w:vAlign w:val="top"/>
          </w:tcPr>
          <w:p>
            <w:r>
              <w:t>No unverified price, date, accreditation or outcome claim.</w:t>
            </w:r>
          </w:p>
        </w:tc>
      </w:tr>
      <w:tr>
        <w:tc>
          <w:tcPr>
            <w:tcW w:type="dxa" w:w="2556"/>
            <w:vAlign w:val="top"/>
          </w:tcPr>
          <w:p>
            <w:r>
              <w:t>Tue 21</w:t>
            </w:r>
          </w:p>
        </w:tc>
        <w:tc>
          <w:tcPr>
            <w:tcW w:type="dxa" w:w="2556"/>
            <w:vAlign w:val="top"/>
          </w:tcPr>
          <w:p>
            <w:r>
              <w:t>Draft SMS variants. Design approved web/social/print poster formats. Select course-accurate photos and optimize web derivatives.</w:t>
            </w:r>
          </w:p>
        </w:tc>
        <w:tc>
          <w:tcPr>
            <w:tcW w:type="dxa" w:w="2556"/>
            <w:vAlign w:val="top"/>
          </w:tcPr>
          <w:p>
            <w:r>
              <w:t>Campaign matrix, message pack, approved creative set and asset manifest.</w:t>
            </w:r>
          </w:p>
        </w:tc>
        <w:tc>
          <w:tcPr>
            <w:tcW w:type="dxa" w:w="2556"/>
            <w:vAlign w:val="top"/>
          </w:tcPr>
          <w:p>
            <w:r>
              <w:t>Owner approval and accurate destination links.</w:t>
            </w:r>
          </w:p>
        </w:tc>
      </w:tr>
      <w:tr>
        <w:tc>
          <w:tcPr>
            <w:tcW w:type="dxa" w:w="2556"/>
            <w:vAlign w:val="top"/>
          </w:tcPr>
          <w:p>
            <w:r>
              <w:t>Wed 22</w:t>
            </w:r>
          </w:p>
        </w:tc>
        <w:tc>
          <w:tcPr>
            <w:tcW w:type="dxa" w:w="2556"/>
            <w:vAlign w:val="top"/>
          </w:tcPr>
          <w:p>
            <w:r>
              <w:t>Apply factual content updates. Validate metadata, headings, schema, canonicals, sitemap, AI discovery, responsive images and performance.</w:t>
            </w:r>
          </w:p>
        </w:tc>
        <w:tc>
          <w:tcPr>
            <w:tcW w:type="dxa" w:w="2556"/>
            <w:vAlign w:val="top"/>
          </w:tcPr>
          <w:p>
            <w:r>
              <w:t>Release candidate and complete demo acceptance record.</w:t>
            </w:r>
          </w:p>
        </w:tc>
        <w:tc>
          <w:tcPr>
            <w:tcW w:type="dxa" w:w="2556"/>
            <w:vAlign w:val="top"/>
          </w:tcPr>
          <w:p>
            <w:r>
              <w:t>All priority pages, forms, assets, mobile and desktop pass.</w:t>
            </w:r>
          </w:p>
        </w:tc>
      </w:tr>
      <w:tr>
        <w:tc>
          <w:tcPr>
            <w:tcW w:type="dxa" w:w="2556"/>
            <w:vAlign w:val="top"/>
          </w:tcPr>
          <w:p>
            <w:r>
              <w:t>Thu 23</w:t>
            </w:r>
          </w:p>
        </w:tc>
        <w:tc>
          <w:tcPr>
            <w:tcW w:type="dxa" w:w="2556"/>
            <w:vAlign w:val="top"/>
          </w:tcPr>
          <w:p>
            <w:r>
              <w:t>Take production backups. Sync child theme with all switches off. Test legacy state. Enable redesign only, purge cache and smoke test.</w:t>
            </w:r>
          </w:p>
        </w:tc>
        <w:tc>
          <w:tcPr>
            <w:tcW w:type="dxa" w:w="2556"/>
            <w:vAlign w:val="top"/>
          </w:tcPr>
          <w:p>
            <w:r>
              <w:t>Release record, backups, changed-file manifest and rollback proof.</w:t>
            </w:r>
          </w:p>
        </w:tc>
        <w:tc>
          <w:tcPr>
            <w:tcW w:type="dxa" w:w="2556"/>
            <w:vAlign w:val="top"/>
          </w:tcPr>
          <w:p>
            <w:r>
              <w:t>Explicit production authorization and rollback owner available.</w:t>
            </w:r>
          </w:p>
        </w:tc>
      </w:tr>
      <w:tr>
        <w:tc>
          <w:tcPr>
            <w:tcW w:type="dxa" w:w="2556"/>
            <w:vAlign w:val="top"/>
          </w:tcPr>
          <w:p>
            <w:r>
              <w:t>Fri 24</w:t>
            </w:r>
          </w:p>
        </w:tc>
        <w:tc>
          <w:tcPr>
            <w:tcW w:type="dxa" w:w="2556"/>
            <w:vAlign w:val="top"/>
          </w:tcPr>
          <w:p>
            <w:r>
              <w:t>Monitor errors and engagement. Verify cache hits. Submit sitemap/index requests. Run internal SMS test. Publish only approved posters.</w:t>
            </w:r>
          </w:p>
        </w:tc>
        <w:tc>
          <w:tcPr>
            <w:tcW w:type="dxa" w:w="2556"/>
            <w:vAlign w:val="top"/>
          </w:tcPr>
          <w:p>
            <w:r>
              <w:t>Monitoring snapshot, SMS test result, indexing record and fresh milestone report.</w:t>
            </w:r>
          </w:p>
        </w:tc>
        <w:tc>
          <w:tcPr>
            <w:tcW w:type="dxa" w:w="2556"/>
            <w:vAlign w:val="top"/>
          </w:tcPr>
          <w:p>
            <w:r>
              <w:t>No broad SMS send until internal test and compliance checks pass.</w:t>
            </w:r>
          </w:p>
        </w:tc>
      </w:tr>
    </w:tbl>
    <w:p>
      <w:pPr>
        <w:pStyle w:val="Heading1"/>
      </w:pPr>
      <w:r>
        <w:t>Production preservation model</w:t>
      </w:r>
    </w:p>
    <w:p>
      <w:r>
        <w:t>The rollout will not reinstall WordPress. It will not import the demo database, replace WordPress core, change DNS/site URLs, or overwrite plugins and uploads. The approved child theme is synchronized while the redesign, 2026 catalog and pricing switches remain off. After legacy-state testing, only TOOLKIT_REDESIGN_ENABLED is activated. The original database content and parent-theme presentation remain available.</w:t>
      </w:r>
    </w:p>
    <w:p>
      <w:r>
        <w:t>Immediate presentation rollback: set TOOLKIT_REDESIGN_ENABLED to false and purge LiteSpeed. File rollback: restore the latest pre-cutover child-theme archive. Database restoration is reserved for a verified database-caused incident.</w:t>
      </w:r>
    </w:p>
    <w:p>
      <w:pPr>
        <w:pStyle w:val="Heading1"/>
      </w:pPr>
      <w:r>
        <w:t>Workstream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969E2A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3408"/>
            <w:shd w:fill="969E2A"/>
          </w:tcPr>
          <w:p>
            <w:r>
              <w:rPr>
                <w:b/>
                <w:color w:val="FFFFFF"/>
              </w:rPr>
              <w:t>This week's completion test</w:t>
            </w:r>
          </w:p>
        </w:tc>
        <w:tc>
          <w:tcPr>
            <w:tcW w:type="dxa" w:w="3408"/>
            <w:shd w:fill="969E2A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3408"/>
          </w:tcPr>
          <w:p>
            <w:r>
              <w:t>Bulk SMS</w:t>
            </w:r>
          </w:p>
        </w:tc>
        <w:tc>
          <w:tcPr>
            <w:tcW w:type="dxa" w:w="3408"/>
          </w:tcPr>
          <w:p>
            <w:r>
              <w:t>Approved copy and successful internal test with delivery evidence.</w:t>
            </w:r>
          </w:p>
        </w:tc>
        <w:tc>
          <w:tcPr>
            <w:tcW w:type="dxa" w:w="3408"/>
          </w:tcPr>
          <w:p>
            <w:r>
              <w:t>Consent, sender identity, opt-out, least data, no recipient data in Git or reports.</w:t>
            </w:r>
          </w:p>
        </w:tc>
      </w:tr>
      <w:tr>
        <w:tc>
          <w:tcPr>
            <w:tcW w:type="dxa" w:w="3408"/>
          </w:tcPr>
          <w:p>
            <w:r>
              <w:t>Posters</w:t>
            </w:r>
          </w:p>
        </w:tc>
        <w:tc>
          <w:tcPr>
            <w:tcW w:type="dxa" w:w="3408"/>
          </w:tcPr>
          <w:p>
            <w:r>
              <w:t>Approved dimensions, text, imagery, links and optimized exports.</w:t>
            </w:r>
          </w:p>
        </w:tc>
        <w:tc>
          <w:tcPr>
            <w:tcW w:type="dxa" w:w="3408"/>
          </w:tcPr>
          <w:p>
            <w:r>
              <w:t>Course-accurate assets and approved brand colours; retain print master separately.</w:t>
            </w:r>
          </w:p>
        </w:tc>
      </w:tr>
      <w:tr>
        <w:tc>
          <w:tcPr>
            <w:tcW w:type="dxa" w:w="3408"/>
          </w:tcPr>
          <w:p>
            <w:r>
              <w:t>SEO</w:t>
            </w:r>
          </w:p>
        </w:tc>
        <w:tc>
          <w:tcPr>
            <w:tcW w:type="dxa" w:w="3408"/>
          </w:tcPr>
          <w:p>
            <w:r>
              <w:t>Priority routes have correct metadata, schema, canonical, sitemap and indexing handoff.</w:t>
            </w:r>
          </w:p>
        </w:tc>
        <w:tc>
          <w:tcPr>
            <w:tcW w:type="dxa" w:w="3408"/>
          </w:tcPr>
          <w:p>
            <w:r>
              <w:t>No guaranteed-ranking claims; measure verified impressions, clicks and positions.</w:t>
            </w:r>
          </w:p>
        </w:tc>
      </w:tr>
      <w:tr>
        <w:tc>
          <w:tcPr>
            <w:tcW w:type="dxa" w:w="3408"/>
          </w:tcPr>
          <w:p>
            <w:r>
              <w:t>Content</w:t>
            </w:r>
          </w:p>
        </w:tc>
        <w:tc>
          <w:tcPr>
            <w:tcW w:type="dxa" w:w="3408"/>
          </w:tcPr>
          <w:p>
            <w:r>
              <w:t>Owners approve changed facts and pages pass responsive review.</w:t>
            </w:r>
          </w:p>
        </w:tc>
        <w:tc>
          <w:tcPr>
            <w:tcW w:type="dxa" w:w="3408"/>
          </w:tcPr>
          <w:p>
            <w:r>
              <w:t>Preserve valid existing copy; no future fees before the approved date.</w:t>
            </w:r>
          </w:p>
        </w:tc>
      </w:tr>
      <w:tr>
        <w:tc>
          <w:tcPr>
            <w:tcW w:type="dxa" w:w="3408"/>
          </w:tcPr>
          <w:p>
            <w:r>
              <w:t>Production</w:t>
            </w:r>
          </w:p>
        </w:tc>
        <w:tc>
          <w:tcPr>
            <w:tcW w:type="dxa" w:w="3408"/>
          </w:tcPr>
          <w:p>
            <w:r>
              <w:t>New UI passes smoke tests and the old UI can be restored by switch.</w:t>
            </w:r>
          </w:p>
        </w:tc>
        <w:tc>
          <w:tcPr>
            <w:tcW w:type="dxa" w:w="3408"/>
          </w:tcPr>
          <w:p>
            <w:r>
              <w:t>Same-day backups, child-theme-only sync, switches off during upload, documented rollback.</w:t>
            </w:r>
          </w:p>
        </w:tc>
      </w:tr>
    </w:tbl>
    <w:p>
      <w:pPr>
        <w:pStyle w:val="Heading1"/>
      </w:pPr>
      <w:r>
        <w:t>Production go/no-go checklist</w:t>
      </w:r>
    </w:p>
    <w:p>
      <w:pPr>
        <w:pStyle w:val="ListBullet"/>
      </w:pPr>
      <w:r>
        <w:t>Written acceptance of the demo release and explicit authorization for the main-domain cutover.</w:t>
      </w:r>
    </w:p>
    <w:p>
      <w:pPr>
        <w:pStyle w:val="ListBullet"/>
      </w:pPr>
      <w:r>
        <w:t>Correct production access and TLS/FTPS certificate verification; do not repeat the demo certificate exception.</w:t>
      </w:r>
    </w:p>
    <w:p>
      <w:pPr>
        <w:pStyle w:val="ListBullet"/>
      </w:pPr>
      <w:r>
        <w:t>Same-day full files and database backups stored persistently and tested for readability.</w:t>
      </w:r>
    </w:p>
    <w:p>
      <w:pPr>
        <w:pStyle w:val="ListBullet"/>
      </w:pPr>
      <w:r>
        <w:t>Recorded current production state, release commit, file manifest and rollback owner.</w:t>
      </w:r>
    </w:p>
    <w:p>
      <w:pPr>
        <w:pStyle w:val="ListBullet"/>
      </w:pPr>
      <w:r>
        <w:t>Legacy site passes after file sync with all three switches false.</w:t>
      </w:r>
    </w:p>
    <w:p>
      <w:pPr>
        <w:pStyle w:val="ListBullet"/>
      </w:pPr>
      <w:r>
        <w:t>Homepage, About, courses, every active course route, Blog, Notice Board, application, Contact, privacy, login/account and 404 pass after activation.</w:t>
      </w:r>
    </w:p>
    <w:p>
      <w:pPr>
        <w:pStyle w:val="ListBullet"/>
      </w:pPr>
      <w:r>
        <w:t>Logo/media, canonical hostname, forms, tracking, chatbot, console, mobile layout and second-request cache hits verified.</w:t>
      </w:r>
    </w:p>
    <w:p>
      <w:pPr>
        <w:pStyle w:val="Heading1"/>
      </w:pPr>
      <w:r>
        <w:t>Items requiring owner input</w:t>
      </w:r>
    </w:p>
    <w:p>
      <w:pPr>
        <w:pStyle w:val="ListBullet"/>
      </w:pPr>
      <w:r>
        <w:t>Approved course/intake information and whether any prices may appear this week.</w:t>
      </w:r>
    </w:p>
    <w:p>
      <w:pPr>
        <w:pStyle w:val="ListBullet"/>
      </w:pPr>
      <w:r>
        <w:t>Bulk-SMS provider, sender ID, lawful/consented list owner, opt-out method and campaign authorization.</w:t>
      </w:r>
    </w:p>
    <w:p>
      <w:pPr>
        <w:pStyle w:val="ListBullet"/>
      </w:pPr>
      <w:r>
        <w:t>Poster campaign priority, channels, final copy owner and image approvals.</w:t>
      </w:r>
    </w:p>
    <w:p>
      <w:pPr>
        <w:pStyle w:val="ListBullet"/>
      </w:pPr>
      <w:r>
        <w:t>Production hosting credentials, verified backup mechanism, maintenance window and rollback decision-maker.</w:t>
      </w:r>
    </w:p>
    <w:p>
      <w:pPr>
        <w:pStyle w:val="ListBullet"/>
      </w:pPr>
      <w:r>
        <w:t>Google Search Console and analytics access for verified indexing and performance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Toolkit Africa | Production Readiness, Outreach and Discoverability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6A68"/>
        <w:sz w:val="16"/>
      </w:rPr>
      <w:t>TOOLKIT AFRICA  /  WEEKLY WORK PLAN  /  20-24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