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20"/>
        <w:jc w:val="start"/>
        <w:rPr/>
      </w:pPr>
      <w:r>
        <w:rPr/>
        <w:t>Toolkit OKRs — 26 May 2026 to July 2027</w:t>
      </w:r>
    </w:p>
    <w:p>
      <w:pPr>
        <w:pStyle w:val="BodyText"/>
        <w:bidi w:val="0"/>
        <w:jc w:val="start"/>
        <w:rPr/>
      </w:pPr>
      <w:r>
        <w:rPr>
          <w:rStyle w:val="Strong"/>
        </w:rPr>
        <w:t>Prepared:</w:t>
      </w:r>
      <w:r>
        <w:rPr/>
        <w:t xml:space="preserve"> 31 August 2026</w:t>
        <w:br/>
      </w:r>
      <w:r>
        <w:rPr>
          <w:rStyle w:val="Strong"/>
        </w:rPr>
        <w:t>Revised:</w:t>
      </w:r>
      <w:r>
        <w:rPr/>
        <w:t xml:space="preserve"> 2 September 2026</w:t>
        <w:br/>
      </w:r>
      <w:r>
        <w:rPr>
          <w:rStyle w:val="Strong"/>
        </w:rPr>
        <w:t>Scope:</w:t>
      </w:r>
      <w:r>
        <w:rPr/>
        <w:t xml:space="preserve"> Website, Reception, Report System, Smart Lecturer, Virtual Campus, Chat-bot, security, deployment operations and the poster/communications library</w:t>
        <w:br/>
      </w:r>
      <w:r>
        <w:rPr>
          <w:rStyle w:val="Strong"/>
        </w:rPr>
        <w:t>Status:</w:t>
      </w:r>
      <w:r>
        <w:rPr/>
        <w:t xml:space="preserve"> Finalized portfolio baseline; period starts 26 May 2026 and evidence is backdated through 31 August 2026</w:t>
      </w:r>
    </w:p>
    <w:p>
      <w:pPr>
        <w:pStyle w:val="Heading2"/>
        <w:bidi w:val="0"/>
        <w:jc w:val="start"/>
        <w:rPr/>
      </w:pPr>
      <w:r>
        <w:rPr/>
        <w:t>How to use this document</w:t>
      </w:r>
    </w:p>
    <w:p>
      <w:pPr>
        <w:pStyle w:val="BodyText"/>
        <w:bidi w:val="0"/>
        <w:jc w:val="start"/>
        <w:rPr/>
      </w:pPr>
      <w:r>
        <w:rPr/>
        <w:t>These are the approved outcome measures for the Toolkit portfolio, not a list of coding tasks. The baseline period starts on 26 May 2026. The earliest retained implementation evidence is the Report System’s initial commit on 27 May, followed by website analysis and delivery from June, then portfolio expansion through 31 August 2026. The targets are now the working portfolio targets. Department leads must still assign a named person and confirm each operational denominator before the Report System activates a key result for live reporting.</w:t>
      </w:r>
    </w:p>
    <w:p>
      <w:pPr>
        <w:pStyle w:val="BodyText"/>
        <w:bidi w:val="0"/>
        <w:jc w:val="start"/>
        <w:rPr/>
      </w:pPr>
      <w:r>
        <w:rPr/>
        <w:t>The Report System now provides the working register for these objectives. An executive can explicitly load all eight objectives and thirty key results as idempotent assignment-ready records, then assign named owners and keep append-only progress/evidence updates. Poster and campaign work is recorded by referencing the approved asset or campaign in the key-result evidence trail. Activation is blocked until the objective and all its key results have named owners and have been moved out of Draft. Draft in the application therefore means “awaiting accountable user assignment”; it no longer means that the portfolio target itself is undecided.</w:t>
      </w:r>
    </w:p>
    <w:p>
      <w:pPr>
        <w:pStyle w:val="Heading2"/>
        <w:bidi w:val="0"/>
        <w:jc w:val="start"/>
        <w:rPr/>
      </w:pPr>
      <w:r>
        <w:rPr/>
        <w:t>Backdated portfolio checkpoint</w:t>
      </w:r>
    </w:p>
    <w:p>
      <w:pPr>
        <w:pStyle w:val="BodyText"/>
        <w:bidi w:val="0"/>
        <w:jc w:val="start"/>
        <w:rPr/>
      </w:pPr>
      <w:r>
        <w:rPr/>
        <w:t>This checkpoint credits completed and verified foundation work from 26 May to 31 August 2026 without turning implementation activity into invented outcome percentages. Measures that need real users, a reporting month or an approved denominator remain at “measurement starts at pilot” even where their supporting system is already built.</w:t>
      </w:r>
    </w:p>
    <w:tbl>
      <w:tblPr>
        <w:tblW w:w="10036" w:type="dxa"/>
        <w:jc w:val="start"/>
        <w:tblInd w:w="0" w:type="dxa"/>
        <w:tblLayout w:type="fixed"/>
        <w:tblCellMar>
          <w:top w:w="28" w:type="dxa"/>
          <w:start w:w="28" w:type="dxa"/>
          <w:bottom w:w="28" w:type="dxa"/>
          <w:end w:w="28" w:type="dxa"/>
        </w:tblCellMar>
      </w:tblPr>
      <w:tblGrid>
        <w:gridCol w:w="1335"/>
        <w:gridCol w:w="1120"/>
        <w:gridCol w:w="5136"/>
        <w:gridCol w:w="2445"/>
      </w:tblGrid>
      <w:tr>
        <w:trPr>
          <w:tblHeader w:val="true"/>
        </w:trPr>
        <w:tc>
          <w:tcPr>
            <w:tcW w:w="1335" w:type="dxa"/>
            <w:tcBorders/>
            <w:vAlign w:val="center"/>
          </w:tcPr>
          <w:p>
            <w:pPr>
              <w:pStyle w:val="TableHeading"/>
              <w:suppressLineNumbers/>
              <w:shd w:fill="33594B" w:val="clear"/>
              <w:bidi w:val="0"/>
              <w:jc w:val="start"/>
              <w:rPr/>
            </w:pPr>
            <w:r>
              <w:rPr/>
              <w:t>Objective</w:t>
            </w:r>
          </w:p>
        </w:tc>
        <w:tc>
          <w:tcPr>
            <w:tcW w:w="1120" w:type="dxa"/>
            <w:tcBorders/>
            <w:vAlign w:val="center"/>
          </w:tcPr>
          <w:p>
            <w:pPr>
              <w:pStyle w:val="TableHeading"/>
              <w:suppressLineNumbers/>
              <w:shd w:fill="33594B" w:val="clear"/>
              <w:bidi w:val="0"/>
              <w:jc w:val="start"/>
              <w:rPr/>
            </w:pPr>
            <w:r>
              <w:rPr/>
              <w:t>Evidence date</w:t>
            </w:r>
          </w:p>
        </w:tc>
        <w:tc>
          <w:tcPr>
            <w:tcW w:w="5136" w:type="dxa"/>
            <w:tcBorders/>
            <w:vAlign w:val="center"/>
          </w:tcPr>
          <w:p>
            <w:pPr>
              <w:pStyle w:val="TableHeading"/>
              <w:suppressLineNumbers/>
              <w:shd w:fill="33594B" w:val="clear"/>
              <w:bidi w:val="0"/>
              <w:jc w:val="start"/>
              <w:rPr/>
            </w:pPr>
            <w:r>
              <w:rPr/>
              <w:t>Backdated position</w:t>
            </w:r>
          </w:p>
        </w:tc>
        <w:tc>
          <w:tcPr>
            <w:tcW w:w="2445" w:type="dxa"/>
            <w:tcBorders/>
            <w:vAlign w:val="center"/>
          </w:tcPr>
          <w:p>
            <w:pPr>
              <w:pStyle w:val="TableHeading"/>
              <w:suppressLineNumbers/>
              <w:shd w:fill="33594B" w:val="clear"/>
              <w:bidi w:val="0"/>
              <w:jc w:val="start"/>
              <w:rPr/>
            </w:pPr>
            <w:r>
              <w:rPr/>
              <w:t>Next measurable event</w:t>
            </w:r>
          </w:p>
        </w:tc>
      </w:tr>
      <w:tr>
        <w:trPr/>
        <w:tc>
          <w:tcPr>
            <w:tcW w:w="1335" w:type="dxa"/>
            <w:tcBorders/>
            <w:vAlign w:val="center"/>
          </w:tcPr>
          <w:p>
            <w:pPr>
              <w:pStyle w:val="TableContents"/>
              <w:widowControl w:val="false"/>
              <w:suppressLineNumbers/>
              <w:bidi w:val="0"/>
              <w:jc w:val="start"/>
              <w:rPr/>
            </w:pPr>
            <w:r>
              <w:rPr/>
              <w:t>Public website</w:t>
            </w:r>
          </w:p>
        </w:tc>
        <w:tc>
          <w:tcPr>
            <w:tcW w:w="1120" w:type="dxa"/>
            <w:tcBorders/>
            <w:vAlign w:val="center"/>
          </w:tcPr>
          <w:p>
            <w:pPr>
              <w:pStyle w:val="TableContents"/>
              <w:widowControl w:val="false"/>
              <w:suppressLineNumbers/>
              <w:bidi w:val="0"/>
              <w:jc w:val="start"/>
              <w:rPr/>
            </w:pPr>
            <w:r>
              <w:rPr/>
              <w:t>5 Jun–24 Aug 2026</w:t>
            </w:r>
          </w:p>
        </w:tc>
        <w:tc>
          <w:tcPr>
            <w:tcW w:w="5136" w:type="dxa"/>
            <w:tcBorders/>
            <w:vAlign w:val="center"/>
          </w:tcPr>
          <w:p>
            <w:pPr>
              <w:pStyle w:val="TableContents"/>
              <w:widowControl w:val="false"/>
              <w:suppressLineNumbers/>
              <w:bidi w:val="0"/>
              <w:jc w:val="start"/>
              <w:rPr/>
            </w:pPr>
            <w:r>
              <w:rPr/>
              <w:t>Site analysis, child-theme isolation, brand tokens, course/institutional redesign, production cutover, SEO/editorial galleries, catalogue/pricing reconciliation, application reliability and incident containment were implemented or verified; patched theme release remains open</w:t>
            </w:r>
          </w:p>
        </w:tc>
        <w:tc>
          <w:tcPr>
            <w:tcW w:w="2445" w:type="dxa"/>
            <w:tcBorders/>
            <w:vAlign w:val="center"/>
          </w:tcPr>
          <w:p>
            <w:pPr>
              <w:pStyle w:val="TableContents"/>
              <w:widowControl w:val="false"/>
              <w:suppressLineNumbers/>
              <w:bidi w:val="0"/>
              <w:jc w:val="start"/>
              <w:rPr/>
            </w:pPr>
            <w:r>
              <w:rPr/>
              <w:t>Reconcile the next approved catalogue release and begin monthly route monitoring</w:t>
            </w:r>
          </w:p>
        </w:tc>
      </w:tr>
      <w:tr>
        <w:trPr/>
        <w:tc>
          <w:tcPr>
            <w:tcW w:w="1335" w:type="dxa"/>
            <w:tcBorders/>
            <w:vAlign w:val="center"/>
          </w:tcPr>
          <w:p>
            <w:pPr>
              <w:pStyle w:val="TableContents"/>
              <w:widowControl w:val="false"/>
              <w:suppressLineNumbers/>
              <w:bidi w:val="0"/>
              <w:jc w:val="start"/>
              <w:rPr/>
            </w:pPr>
            <w:r>
              <w:rPr/>
              <w:t>Reception</w:t>
            </w:r>
          </w:p>
        </w:tc>
        <w:tc>
          <w:tcPr>
            <w:tcW w:w="1120" w:type="dxa"/>
            <w:tcBorders/>
            <w:vAlign w:val="center"/>
          </w:tcPr>
          <w:p>
            <w:pPr>
              <w:pStyle w:val="TableContents"/>
              <w:widowControl w:val="false"/>
              <w:suppressLineNumbers/>
              <w:bidi w:val="0"/>
              <w:jc w:val="start"/>
              <w:rPr/>
            </w:pPr>
            <w:r>
              <w:rPr/>
              <w:t>17 Jul–28 Aug 2026</w:t>
            </w:r>
          </w:p>
        </w:tc>
        <w:tc>
          <w:tcPr>
            <w:tcW w:w="5136" w:type="dxa"/>
            <w:tcBorders/>
            <w:vAlign w:val="center"/>
          </w:tcPr>
          <w:p>
            <w:pPr>
              <w:pStyle w:val="TableContents"/>
              <w:widowControl w:val="false"/>
              <w:suppressLineNumbers/>
              <w:bidi w:val="0"/>
              <w:jc w:val="start"/>
              <w:rPr/>
            </w:pPr>
            <w:r>
              <w:rPr/>
              <w:t>Secure visitor workflows, hosted database compatibility, website follow-up integration, QR registration, draft autosave, required-field validation, private staff access, exports and audit records were implemented; WhatsApp delivery remains approval-gated</w:t>
            </w:r>
          </w:p>
        </w:tc>
        <w:tc>
          <w:tcPr>
            <w:tcW w:w="2445" w:type="dxa"/>
            <w:tcBorders/>
            <w:vAlign w:val="center"/>
          </w:tcPr>
          <w:p>
            <w:pPr>
              <w:pStyle w:val="TableContents"/>
              <w:widowControl w:val="false"/>
              <w:suppressLineNumbers/>
              <w:bidi w:val="0"/>
              <w:jc w:val="start"/>
              <w:rPr/>
            </w:pPr>
            <w:r>
              <w:rPr/>
              <w:t>Record the first approved operating month’s digital coverage, completeness and follow-up rates</w:t>
            </w:r>
          </w:p>
        </w:tc>
      </w:tr>
      <w:tr>
        <w:trPr/>
        <w:tc>
          <w:tcPr>
            <w:tcW w:w="1335" w:type="dxa"/>
            <w:tcBorders/>
            <w:vAlign w:val="center"/>
          </w:tcPr>
          <w:p>
            <w:pPr>
              <w:pStyle w:val="TableContents"/>
              <w:widowControl w:val="false"/>
              <w:suppressLineNumbers/>
              <w:bidi w:val="0"/>
              <w:jc w:val="start"/>
              <w:rPr/>
            </w:pPr>
            <w:r>
              <w:rPr/>
              <w:t>Virtual Campus</w:t>
            </w:r>
          </w:p>
        </w:tc>
        <w:tc>
          <w:tcPr>
            <w:tcW w:w="1120" w:type="dxa"/>
            <w:tcBorders/>
            <w:vAlign w:val="center"/>
          </w:tcPr>
          <w:p>
            <w:pPr>
              <w:pStyle w:val="TableContents"/>
              <w:widowControl w:val="false"/>
              <w:suppressLineNumbers/>
              <w:bidi w:val="0"/>
              <w:jc w:val="start"/>
              <w:rPr/>
            </w:pPr>
            <w:r>
              <w:rPr/>
              <w:t>24 Aug–1 Sep 2026</w:t>
            </w:r>
          </w:p>
        </w:tc>
        <w:tc>
          <w:tcPr>
            <w:tcW w:w="5136" w:type="dxa"/>
            <w:tcBorders/>
            <w:vAlign w:val="center"/>
          </w:tcPr>
          <w:p>
            <w:pPr>
              <w:pStyle w:val="TableContents"/>
              <w:widowControl w:val="false"/>
              <w:suppressLineNumbers/>
              <w:bidi w:val="0"/>
              <w:jc w:val="start"/>
              <w:rPr/>
            </w:pPr>
            <w:r>
              <w:rPr/>
              <w:t>Verified progress, assignments, lecturer authoring, video lessons and live-class controls were implemented; local and hosted three-participant LiveKit rehearsals passed</w:t>
            </w:r>
          </w:p>
        </w:tc>
        <w:tc>
          <w:tcPr>
            <w:tcW w:w="2445" w:type="dxa"/>
            <w:tcBorders/>
            <w:vAlign w:val="center"/>
          </w:tcPr>
          <w:p>
            <w:pPr>
              <w:pStyle w:val="TableContents"/>
              <w:widowControl w:val="false"/>
              <w:suppressLineNumbers/>
              <w:bidi w:val="0"/>
              <w:jc w:val="start"/>
              <w:rPr/>
            </w:pPr>
            <w:r>
              <w:rPr/>
              <w:t>Complete the human device/network checklist, then record an approved cohort pilot separately</w:t>
            </w:r>
          </w:p>
        </w:tc>
      </w:tr>
      <w:tr>
        <w:trPr/>
        <w:tc>
          <w:tcPr>
            <w:tcW w:w="1335" w:type="dxa"/>
            <w:tcBorders/>
            <w:vAlign w:val="center"/>
          </w:tcPr>
          <w:p>
            <w:pPr>
              <w:pStyle w:val="TableContents"/>
              <w:widowControl w:val="false"/>
              <w:suppressLineNumbers/>
              <w:bidi w:val="0"/>
              <w:jc w:val="start"/>
              <w:rPr/>
            </w:pPr>
            <w:r>
              <w:rPr/>
              <w:t>Smart Lecturer</w:t>
            </w:r>
          </w:p>
        </w:tc>
        <w:tc>
          <w:tcPr>
            <w:tcW w:w="1120" w:type="dxa"/>
            <w:tcBorders/>
            <w:vAlign w:val="center"/>
          </w:tcPr>
          <w:p>
            <w:pPr>
              <w:pStyle w:val="TableContents"/>
              <w:widowControl w:val="false"/>
              <w:suppressLineNumbers/>
              <w:bidi w:val="0"/>
              <w:jc w:val="start"/>
              <w:rPr/>
            </w:pPr>
            <w:r>
              <w:rPr/>
              <w:t>27 Jul–28 Aug 2026</w:t>
            </w:r>
          </w:p>
        </w:tc>
        <w:tc>
          <w:tcPr>
            <w:tcW w:w="5136" w:type="dxa"/>
            <w:tcBorders/>
            <w:vAlign w:val="center"/>
          </w:tcPr>
          <w:p>
            <w:pPr>
              <w:pStyle w:val="TableContents"/>
              <w:widowControl w:val="false"/>
              <w:suppressLineNumbers/>
              <w:bidi w:val="0"/>
              <w:jc w:val="start"/>
              <w:rPr/>
            </w:pPr>
            <w:r>
              <w:rPr/>
              <w:t>Human portrait/speech prototype, native 3D controller, model pipeline research, curated-source boundaries and caption/fallback work were documented and locally demonstrated</w:t>
            </w:r>
          </w:p>
        </w:tc>
        <w:tc>
          <w:tcPr>
            <w:tcW w:w="2445" w:type="dxa"/>
            <w:tcBorders/>
            <w:vAlign w:val="center"/>
          </w:tcPr>
          <w:p>
            <w:pPr>
              <w:pStyle w:val="TableContents"/>
              <w:widowControl w:val="false"/>
              <w:suppressLineNumbers/>
              <w:bidi w:val="0"/>
              <w:jc w:val="start"/>
              <w:rPr/>
            </w:pPr>
            <w:r>
              <w:rPr/>
              <w:t>Conduct the supervised learner review against approved content</w:t>
            </w:r>
          </w:p>
        </w:tc>
      </w:tr>
      <w:tr>
        <w:trPr/>
        <w:tc>
          <w:tcPr>
            <w:tcW w:w="1335" w:type="dxa"/>
            <w:tcBorders/>
            <w:vAlign w:val="center"/>
          </w:tcPr>
          <w:p>
            <w:pPr>
              <w:pStyle w:val="TableContents"/>
              <w:widowControl w:val="false"/>
              <w:suppressLineNumbers/>
              <w:bidi w:val="0"/>
              <w:jc w:val="start"/>
              <w:rPr/>
            </w:pPr>
            <w:r>
              <w:rPr/>
              <w:t>Report System</w:t>
            </w:r>
          </w:p>
        </w:tc>
        <w:tc>
          <w:tcPr>
            <w:tcW w:w="1120" w:type="dxa"/>
            <w:tcBorders/>
            <w:vAlign w:val="center"/>
          </w:tcPr>
          <w:p>
            <w:pPr>
              <w:pStyle w:val="TableContents"/>
              <w:widowControl w:val="false"/>
              <w:suppressLineNumbers/>
              <w:bidi w:val="0"/>
              <w:jc w:val="start"/>
              <w:rPr/>
            </w:pPr>
            <w:r>
              <w:rPr/>
              <w:t>27 May–31 Aug 2026</w:t>
            </w:r>
          </w:p>
        </w:tc>
        <w:tc>
          <w:tcPr>
            <w:tcW w:w="5136" w:type="dxa"/>
            <w:tcBorders/>
            <w:vAlign w:val="center"/>
          </w:tcPr>
          <w:p>
            <w:pPr>
              <w:pStyle w:val="TableContents"/>
              <w:widowControl w:val="false"/>
              <w:suppressLineNumbers/>
              <w:bidi w:val="0"/>
              <w:jc w:val="start"/>
              <w:rPr/>
            </w:pPr>
            <w:r>
              <w:rPr/>
              <w:t>Daily reporting, edit/audit controls, administrator comments, dashboards, notifications and inactivity handling were established before intake, meeting actions, exports/reminders, OKRs and the approval-gated Wingu queue were added</w:t>
            </w:r>
          </w:p>
        </w:tc>
        <w:tc>
          <w:tcPr>
            <w:tcW w:w="2445" w:type="dxa"/>
            <w:tcBorders/>
            <w:vAlign w:val="center"/>
          </w:tcPr>
          <w:p>
            <w:pPr>
              <w:pStyle w:val="TableContents"/>
              <w:widowControl w:val="false"/>
              <w:suppressLineNumbers/>
              <w:bidi w:val="0"/>
              <w:jc w:val="start"/>
              <w:rPr/>
            </w:pPr>
            <w:r>
              <w:rPr/>
              <w:t>Assign named OKR owners and capture the first full reporting month</w:t>
            </w:r>
          </w:p>
        </w:tc>
      </w:tr>
      <w:tr>
        <w:trPr/>
        <w:tc>
          <w:tcPr>
            <w:tcW w:w="1335" w:type="dxa"/>
            <w:tcBorders/>
            <w:vAlign w:val="center"/>
          </w:tcPr>
          <w:p>
            <w:pPr>
              <w:pStyle w:val="TableContents"/>
              <w:widowControl w:val="false"/>
              <w:suppressLineNumbers/>
              <w:bidi w:val="0"/>
              <w:jc w:val="start"/>
              <w:rPr/>
            </w:pPr>
            <w:r>
              <w:rPr/>
              <w:t>Security and recovery</w:t>
            </w:r>
          </w:p>
        </w:tc>
        <w:tc>
          <w:tcPr>
            <w:tcW w:w="1120" w:type="dxa"/>
            <w:tcBorders/>
            <w:vAlign w:val="center"/>
          </w:tcPr>
          <w:p>
            <w:pPr>
              <w:pStyle w:val="TableContents"/>
              <w:widowControl w:val="false"/>
              <w:suppressLineNumbers/>
              <w:bidi w:val="0"/>
              <w:jc w:val="start"/>
              <w:rPr/>
            </w:pPr>
            <w:r>
              <w:rPr/>
              <w:t>10 Jun–1 Sep 2026</w:t>
            </w:r>
          </w:p>
        </w:tc>
        <w:tc>
          <w:tcPr>
            <w:tcW w:w="5136" w:type="dxa"/>
            <w:tcBorders/>
            <w:vAlign w:val="center"/>
          </w:tcPr>
          <w:p>
            <w:pPr>
              <w:pStyle w:val="TableContents"/>
              <w:widowControl w:val="false"/>
              <w:suppressLineNumbers/>
              <w:bidi w:val="0"/>
              <w:jc w:val="start"/>
              <w:rPr/>
            </w:pPr>
            <w:r>
              <w:rPr/>
              <w:t>Sensitive-file blocking, deployment routing, production preflight/snapshot work, WordPress incident containment, scan evidence, external secret handling and repeatable non-browser deployment were implemented</w:t>
            </w:r>
          </w:p>
        </w:tc>
        <w:tc>
          <w:tcPr>
            <w:tcW w:w="2445" w:type="dxa"/>
            <w:tcBorders/>
            <w:vAlign w:val="center"/>
          </w:tcPr>
          <w:p>
            <w:pPr>
              <w:pStyle w:val="TableContents"/>
              <w:widowControl w:val="false"/>
              <w:suppressLineNumbers/>
              <w:bidi w:val="0"/>
              <w:jc w:val="start"/>
              <w:rPr/>
            </w:pPr>
            <w:r>
              <w:rPr/>
              <w:t>Complete and record the first quarterly access and restore reviews</w:t>
            </w:r>
          </w:p>
        </w:tc>
      </w:tr>
      <w:tr>
        <w:trPr/>
        <w:tc>
          <w:tcPr>
            <w:tcW w:w="1335" w:type="dxa"/>
            <w:tcBorders/>
            <w:vAlign w:val="center"/>
          </w:tcPr>
          <w:p>
            <w:pPr>
              <w:pStyle w:val="TableContents"/>
              <w:widowControl w:val="false"/>
              <w:suppressLineNumbers/>
              <w:bidi w:val="0"/>
              <w:jc w:val="start"/>
              <w:rPr/>
            </w:pPr>
            <w:r>
              <w:rPr/>
              <w:t>Brand and posters</w:t>
            </w:r>
          </w:p>
        </w:tc>
        <w:tc>
          <w:tcPr>
            <w:tcW w:w="1120" w:type="dxa"/>
            <w:tcBorders/>
            <w:vAlign w:val="center"/>
          </w:tcPr>
          <w:p>
            <w:pPr>
              <w:pStyle w:val="TableContents"/>
              <w:widowControl w:val="false"/>
              <w:suppressLineNumbers/>
              <w:bidi w:val="0"/>
              <w:jc w:val="start"/>
              <w:rPr/>
            </w:pPr>
            <w:r>
              <w:rPr/>
              <w:t>1 Jul–31 Aug 2026</w:t>
            </w:r>
          </w:p>
        </w:tc>
        <w:tc>
          <w:tcPr>
            <w:tcW w:w="5136" w:type="dxa"/>
            <w:tcBorders/>
            <w:vAlign w:val="center"/>
          </w:tcPr>
          <w:p>
            <w:pPr>
              <w:pStyle w:val="TableContents"/>
              <w:widowControl w:val="false"/>
              <w:suppressLineNumbers/>
              <w:bidi w:val="0"/>
              <w:jc w:val="start"/>
              <w:rPr/>
            </w:pPr>
            <w:r>
              <w:rPr/>
              <w:t>Brand tokens, identity normalization, course/gallery/editorial communication work and 172 inventoried assets—including 128 poster files and editable XCF sources—formed the reusable brand baseline</w:t>
            </w:r>
          </w:p>
        </w:tc>
        <w:tc>
          <w:tcPr>
            <w:tcW w:w="2445" w:type="dxa"/>
            <w:tcBorders/>
            <w:vAlign w:val="center"/>
          </w:tcPr>
          <w:p>
            <w:pPr>
              <w:pStyle w:val="TableContents"/>
              <w:widowControl w:val="false"/>
              <w:suppressLineNumbers/>
              <w:bidi w:val="0"/>
              <w:jc w:val="start"/>
              <w:rPr/>
            </w:pPr>
            <w:r>
              <w:rPr/>
              <w:t>Approve the asset index owner and classify each asset as approved, archived or source-only</w:t>
            </w:r>
          </w:p>
        </w:tc>
      </w:tr>
      <w:tr>
        <w:trPr/>
        <w:tc>
          <w:tcPr>
            <w:tcW w:w="1335" w:type="dxa"/>
            <w:tcBorders/>
            <w:vAlign w:val="center"/>
          </w:tcPr>
          <w:p>
            <w:pPr>
              <w:pStyle w:val="TableContents"/>
              <w:widowControl w:val="false"/>
              <w:suppressLineNumbers/>
              <w:bidi w:val="0"/>
              <w:jc w:val="start"/>
              <w:rPr/>
            </w:pPr>
            <w:r>
              <w:rPr/>
              <w:t>Delivery governance</w:t>
            </w:r>
          </w:p>
        </w:tc>
        <w:tc>
          <w:tcPr>
            <w:tcW w:w="1120" w:type="dxa"/>
            <w:tcBorders/>
            <w:vAlign w:val="center"/>
          </w:tcPr>
          <w:p>
            <w:pPr>
              <w:pStyle w:val="TableContents"/>
              <w:widowControl w:val="false"/>
              <w:suppressLineNumbers/>
              <w:bidi w:val="0"/>
              <w:jc w:val="start"/>
              <w:rPr/>
            </w:pPr>
            <w:r>
              <w:rPr/>
              <w:t>13 Jul–1 Sep 2026</w:t>
            </w:r>
          </w:p>
        </w:tc>
        <w:tc>
          <w:tcPr>
            <w:tcW w:w="5136" w:type="dxa"/>
            <w:tcBorders/>
            <w:vAlign w:val="center"/>
          </w:tcPr>
          <w:p>
            <w:pPr>
              <w:pStyle w:val="TableContents"/>
              <w:widowControl w:val="false"/>
              <w:suppressLineNumbers/>
              <w:bidi w:val="0"/>
              <w:jc w:val="start"/>
              <w:rPr/>
            </w:pPr>
            <w:r>
              <w:rPr/>
              <w:t>Reproducible seeds, demo-first rollout controls, production preflight, owner trackers, training/status reports and retained non-browser deployment scripts were established</w:t>
            </w:r>
          </w:p>
        </w:tc>
        <w:tc>
          <w:tcPr>
            <w:tcW w:w="2445" w:type="dxa"/>
            <w:tcBorders/>
            <w:vAlign w:val="center"/>
          </w:tcPr>
          <w:p>
            <w:pPr>
              <w:pStyle w:val="TableContents"/>
              <w:widowControl w:val="false"/>
              <w:suppressLineNumbers/>
              <w:bidi w:val="0"/>
              <w:jc w:val="start"/>
              <w:rPr/>
            </w:pPr>
            <w:r>
              <w:rPr/>
              <w:t>Apply the release checklist to the next production change and review blockers monthly</w:t>
            </w:r>
          </w:p>
        </w:tc>
      </w:tr>
    </w:tbl>
    <w:p>
      <w:pPr>
        <w:pStyle w:val="Heading2"/>
        <w:bidi w:val="0"/>
        <w:jc w:val="start"/>
        <w:rPr/>
      </w:pPr>
      <w:r>
        <w:rPr/>
        <w:t>Evidence chronology used for the backdated baseline</w:t>
      </w:r>
    </w:p>
    <w:tbl>
      <w:tblPr>
        <w:tblW w:w="10036" w:type="dxa"/>
        <w:jc w:val="start"/>
        <w:tblInd w:w="0" w:type="dxa"/>
        <w:tblLayout w:type="fixed"/>
        <w:tblCellMar>
          <w:top w:w="28" w:type="dxa"/>
          <w:start w:w="28" w:type="dxa"/>
          <w:bottom w:w="28" w:type="dxa"/>
          <w:end w:w="28" w:type="dxa"/>
        </w:tblCellMar>
      </w:tblPr>
      <w:tblGrid>
        <w:gridCol w:w="913"/>
        <w:gridCol w:w="5293"/>
        <w:gridCol w:w="3830"/>
      </w:tblGrid>
      <w:tr>
        <w:trPr>
          <w:tblHeader w:val="true"/>
        </w:trPr>
        <w:tc>
          <w:tcPr>
            <w:tcW w:w="913" w:type="dxa"/>
            <w:tcBorders/>
            <w:vAlign w:val="center"/>
          </w:tcPr>
          <w:p>
            <w:pPr>
              <w:pStyle w:val="TableHeading"/>
              <w:suppressLineNumbers/>
              <w:shd w:fill="33594B" w:val="clear"/>
              <w:bidi w:val="0"/>
              <w:jc w:val="start"/>
              <w:rPr/>
            </w:pPr>
            <w:r>
              <w:rPr/>
              <w:t>Date</w:t>
            </w:r>
          </w:p>
        </w:tc>
        <w:tc>
          <w:tcPr>
            <w:tcW w:w="5293" w:type="dxa"/>
            <w:tcBorders/>
            <w:vAlign w:val="center"/>
          </w:tcPr>
          <w:p>
            <w:pPr>
              <w:pStyle w:val="TableHeading"/>
              <w:suppressLineNumbers/>
              <w:shd w:fill="33594B" w:val="clear"/>
              <w:bidi w:val="0"/>
              <w:jc w:val="start"/>
              <w:rPr/>
            </w:pPr>
            <w:r>
              <w:rPr/>
              <w:t>Retained evidence</w:t>
            </w:r>
          </w:p>
        </w:tc>
        <w:tc>
          <w:tcPr>
            <w:tcW w:w="3830" w:type="dxa"/>
            <w:tcBorders/>
            <w:vAlign w:val="center"/>
          </w:tcPr>
          <w:p>
            <w:pPr>
              <w:pStyle w:val="TableHeading"/>
              <w:suppressLineNumbers/>
              <w:shd w:fill="33594B" w:val="clear"/>
              <w:bidi w:val="0"/>
              <w:jc w:val="start"/>
              <w:rPr/>
            </w:pPr>
            <w:r>
              <w:rPr/>
              <w:t>Portfolio contribution</w:t>
            </w:r>
          </w:p>
        </w:tc>
      </w:tr>
      <w:tr>
        <w:trPr/>
        <w:tc>
          <w:tcPr>
            <w:tcW w:w="913" w:type="dxa"/>
            <w:tcBorders/>
            <w:vAlign w:val="center"/>
          </w:tcPr>
          <w:p>
            <w:pPr>
              <w:pStyle w:val="TableContents"/>
              <w:widowControl w:val="false"/>
              <w:suppressLineNumbers/>
              <w:bidi w:val="0"/>
              <w:jc w:val="start"/>
              <w:rPr/>
            </w:pPr>
            <w:r>
              <w:rPr/>
              <w:t>26 May 2026</w:t>
            </w:r>
          </w:p>
        </w:tc>
        <w:tc>
          <w:tcPr>
            <w:tcW w:w="5293" w:type="dxa"/>
            <w:tcBorders/>
            <w:vAlign w:val="center"/>
          </w:tcPr>
          <w:p>
            <w:pPr>
              <w:pStyle w:val="TableContents"/>
              <w:widowControl w:val="false"/>
              <w:suppressLineNumbers/>
              <w:bidi w:val="0"/>
              <w:jc w:val="start"/>
              <w:rPr/>
            </w:pPr>
            <w:r>
              <w:rPr/>
              <w:t>Portfolio baseline start requested by management</w:t>
            </w:r>
          </w:p>
        </w:tc>
        <w:tc>
          <w:tcPr>
            <w:tcW w:w="3830" w:type="dxa"/>
            <w:tcBorders/>
            <w:vAlign w:val="center"/>
          </w:tcPr>
          <w:p>
            <w:pPr>
              <w:pStyle w:val="TableContents"/>
              <w:widowControl w:val="false"/>
              <w:suppressLineNumbers/>
              <w:bidi w:val="0"/>
              <w:jc w:val="start"/>
              <w:rPr/>
            </w:pPr>
            <w:r>
              <w:rPr/>
              <w:t>Measurement period begins; no completion is claimed for this date alone</w:t>
            </w:r>
          </w:p>
        </w:tc>
      </w:tr>
      <w:tr>
        <w:trPr/>
        <w:tc>
          <w:tcPr>
            <w:tcW w:w="913" w:type="dxa"/>
            <w:tcBorders/>
            <w:vAlign w:val="center"/>
          </w:tcPr>
          <w:p>
            <w:pPr>
              <w:pStyle w:val="TableContents"/>
              <w:widowControl w:val="false"/>
              <w:suppressLineNumbers/>
              <w:bidi w:val="0"/>
              <w:jc w:val="start"/>
              <w:rPr/>
            </w:pPr>
            <w:r>
              <w:rPr/>
              <w:t>27 May 2026</w:t>
            </w:r>
          </w:p>
        </w:tc>
        <w:tc>
          <w:tcPr>
            <w:tcW w:w="5293" w:type="dxa"/>
            <w:tcBorders/>
            <w:vAlign w:val="center"/>
          </w:tcPr>
          <w:p>
            <w:pPr>
              <w:pStyle w:val="TableContents"/>
              <w:widowControl w:val="false"/>
              <w:suppressLineNumbers/>
              <w:bidi w:val="0"/>
              <w:jc w:val="start"/>
              <w:rPr/>
            </w:pPr>
            <w:r>
              <w:rPr/>
              <w:t>Report System initial repository commit</w:t>
            </w:r>
          </w:p>
        </w:tc>
        <w:tc>
          <w:tcPr>
            <w:tcW w:w="3830" w:type="dxa"/>
            <w:tcBorders/>
            <w:vAlign w:val="center"/>
          </w:tcPr>
          <w:p>
            <w:pPr>
              <w:pStyle w:val="TableContents"/>
              <w:widowControl w:val="false"/>
              <w:suppressLineNumbers/>
              <w:bidi w:val="0"/>
              <w:jc w:val="start"/>
              <w:rPr/>
            </w:pPr>
            <w:r>
              <w:rPr/>
              <w:t>Daily staff reporting foundation</w:t>
            </w:r>
          </w:p>
        </w:tc>
      </w:tr>
      <w:tr>
        <w:trPr/>
        <w:tc>
          <w:tcPr>
            <w:tcW w:w="913" w:type="dxa"/>
            <w:tcBorders/>
            <w:vAlign w:val="center"/>
          </w:tcPr>
          <w:p>
            <w:pPr>
              <w:pStyle w:val="TableContents"/>
              <w:widowControl w:val="false"/>
              <w:suppressLineNumbers/>
              <w:bidi w:val="0"/>
              <w:jc w:val="start"/>
              <w:rPr/>
            </w:pPr>
            <w:r>
              <w:rPr/>
              <w:t>5–24 Jun 2026</w:t>
            </w:r>
          </w:p>
        </w:tc>
        <w:tc>
          <w:tcPr>
            <w:tcW w:w="5293" w:type="dxa"/>
            <w:tcBorders/>
            <w:vAlign w:val="center"/>
          </w:tcPr>
          <w:p>
            <w:pPr>
              <w:pStyle w:val="TableContents"/>
              <w:widowControl w:val="false"/>
              <w:suppressLineNumbers/>
              <w:bidi w:val="0"/>
              <w:jc w:val="start"/>
              <w:rPr/>
            </w:pPr>
            <w:r>
              <w:rPr/>
              <w:t>Website/site analysis and Report System audit, dashboard, notification and inactivity-control commits</w:t>
            </w:r>
          </w:p>
        </w:tc>
        <w:tc>
          <w:tcPr>
            <w:tcW w:w="3830" w:type="dxa"/>
            <w:tcBorders/>
            <w:vAlign w:val="center"/>
          </w:tcPr>
          <w:p>
            <w:pPr>
              <w:pStyle w:val="TableContents"/>
              <w:widowControl w:val="false"/>
              <w:suppressLineNumbers/>
              <w:bidi w:val="0"/>
              <w:jc w:val="start"/>
              <w:rPr/>
            </w:pPr>
            <w:r>
              <w:rPr/>
              <w:t>Operational visibility, deployment hardening and the first digital-experience baseline</w:t>
            </w:r>
          </w:p>
        </w:tc>
      </w:tr>
      <w:tr>
        <w:trPr/>
        <w:tc>
          <w:tcPr>
            <w:tcW w:w="913" w:type="dxa"/>
            <w:tcBorders/>
            <w:vAlign w:val="center"/>
          </w:tcPr>
          <w:p>
            <w:pPr>
              <w:pStyle w:val="TableContents"/>
              <w:widowControl w:val="false"/>
              <w:suppressLineNumbers/>
              <w:bidi w:val="0"/>
              <w:jc w:val="start"/>
              <w:rPr/>
            </w:pPr>
            <w:r>
              <w:rPr/>
              <w:t>1–20 Jul 2026</w:t>
            </w:r>
          </w:p>
        </w:tc>
        <w:tc>
          <w:tcPr>
            <w:tcW w:w="5293" w:type="dxa"/>
            <w:tcBorders/>
            <w:vAlign w:val="center"/>
          </w:tcPr>
          <w:p>
            <w:pPr>
              <w:pStyle w:val="TableContents"/>
              <w:widowControl w:val="false"/>
              <w:suppressLineNumbers/>
              <w:bidi w:val="0"/>
              <w:jc w:val="start"/>
              <w:rPr/>
            </w:pPr>
            <w:r>
              <w:rPr/>
              <w:t>WordPress brand tokens, child-theme isolation, course/institutional rebuild, accessibility/SEO handoff and controlled production cutover</w:t>
            </w:r>
          </w:p>
        </w:tc>
        <w:tc>
          <w:tcPr>
            <w:tcW w:w="3830" w:type="dxa"/>
            <w:tcBorders/>
            <w:vAlign w:val="center"/>
          </w:tcPr>
          <w:p>
            <w:pPr>
              <w:pStyle w:val="TableContents"/>
              <w:widowControl w:val="false"/>
              <w:suppressLineNumbers/>
              <w:bidi w:val="0"/>
              <w:jc w:val="start"/>
              <w:rPr/>
            </w:pPr>
            <w:r>
              <w:rPr/>
              <w:t>Public website trust, brand consistency and demo-first delivery evidence</w:t>
            </w:r>
          </w:p>
        </w:tc>
      </w:tr>
      <w:tr>
        <w:trPr/>
        <w:tc>
          <w:tcPr>
            <w:tcW w:w="913" w:type="dxa"/>
            <w:tcBorders/>
            <w:vAlign w:val="center"/>
          </w:tcPr>
          <w:p>
            <w:pPr>
              <w:pStyle w:val="TableContents"/>
              <w:widowControl w:val="false"/>
              <w:suppressLineNumbers/>
              <w:bidi w:val="0"/>
              <w:jc w:val="start"/>
              <w:rPr/>
            </w:pPr>
            <w:r>
              <w:rPr/>
              <w:t>17–28 Jul 2026</w:t>
            </w:r>
          </w:p>
        </w:tc>
        <w:tc>
          <w:tcPr>
            <w:tcW w:w="5293" w:type="dxa"/>
            <w:tcBorders/>
            <w:vAlign w:val="center"/>
          </w:tcPr>
          <w:p>
            <w:pPr>
              <w:pStyle w:val="TableContents"/>
              <w:widowControl w:val="false"/>
              <w:suppressLineNumbers/>
              <w:bidi w:val="0"/>
              <w:jc w:val="start"/>
              <w:rPr/>
            </w:pPr>
            <w:r>
              <w:rPr/>
              <w:t>Reception build/integration, Smart Lecturer prototype/model work, media galleries/editorial stories and strategic roadmap</w:t>
            </w:r>
          </w:p>
        </w:tc>
        <w:tc>
          <w:tcPr>
            <w:tcW w:w="3830" w:type="dxa"/>
            <w:tcBorders/>
            <w:vAlign w:val="center"/>
          </w:tcPr>
          <w:p>
            <w:pPr>
              <w:pStyle w:val="TableContents"/>
              <w:widowControl w:val="false"/>
              <w:suppressLineNumbers/>
              <w:bidi w:val="0"/>
              <w:jc w:val="start"/>
              <w:rPr/>
            </w:pPr>
            <w:r>
              <w:rPr/>
              <w:t>Secure reception, learner-support research and communications expansion</w:t>
            </w:r>
          </w:p>
        </w:tc>
      </w:tr>
      <w:tr>
        <w:trPr/>
        <w:tc>
          <w:tcPr>
            <w:tcW w:w="913" w:type="dxa"/>
            <w:tcBorders/>
            <w:vAlign w:val="center"/>
          </w:tcPr>
          <w:p>
            <w:pPr>
              <w:pStyle w:val="TableContents"/>
              <w:widowControl w:val="false"/>
              <w:suppressLineNumbers/>
              <w:bidi w:val="0"/>
              <w:jc w:val="start"/>
              <w:rPr/>
            </w:pPr>
            <w:r>
              <w:rPr/>
              <w:t>20–31 Aug 2026</w:t>
            </w:r>
          </w:p>
        </w:tc>
        <w:tc>
          <w:tcPr>
            <w:tcW w:w="5293" w:type="dxa"/>
            <w:tcBorders/>
            <w:vAlign w:val="center"/>
          </w:tcPr>
          <w:p>
            <w:pPr>
              <w:pStyle w:val="TableContents"/>
              <w:widowControl w:val="false"/>
              <w:suppressLineNumbers/>
              <w:bidi w:val="0"/>
              <w:jc w:val="start"/>
              <w:rPr/>
            </w:pPr>
            <w:r>
              <w:rPr/>
              <w:t>Catalogue/pricing, applicant encryption, incident response, Reception expansion, Virtual Campus, reporting/Wingu and asset inventory</w:t>
            </w:r>
          </w:p>
        </w:tc>
        <w:tc>
          <w:tcPr>
            <w:tcW w:w="3830" w:type="dxa"/>
            <w:tcBorders/>
            <w:vAlign w:val="center"/>
          </w:tcPr>
          <w:p>
            <w:pPr>
              <w:pStyle w:val="TableContents"/>
              <w:widowControl w:val="false"/>
              <w:suppressLineNumbers/>
              <w:bidi w:val="0"/>
              <w:jc w:val="start"/>
              <w:rPr/>
            </w:pPr>
            <w:r>
              <w:rPr/>
              <w:t>Portfolio-wide operational baseline completed</w:t>
            </w:r>
          </w:p>
        </w:tc>
      </w:tr>
      <w:tr>
        <w:trPr/>
        <w:tc>
          <w:tcPr>
            <w:tcW w:w="913" w:type="dxa"/>
            <w:tcBorders/>
            <w:vAlign w:val="center"/>
          </w:tcPr>
          <w:p>
            <w:pPr>
              <w:pStyle w:val="TableContents"/>
              <w:widowControl w:val="false"/>
              <w:suppressLineNumbers/>
              <w:bidi w:val="0"/>
              <w:jc w:val="start"/>
              <w:rPr/>
            </w:pPr>
            <w:r>
              <w:rPr/>
              <w:t>1 Sep 2026</w:t>
            </w:r>
          </w:p>
        </w:tc>
        <w:tc>
          <w:tcPr>
            <w:tcW w:w="5293" w:type="dxa"/>
            <w:tcBorders/>
            <w:vAlign w:val="center"/>
          </w:tcPr>
          <w:p>
            <w:pPr>
              <w:pStyle w:val="TableContents"/>
              <w:widowControl w:val="false"/>
              <w:suppressLineNumbers/>
              <w:bidi w:val="0"/>
              <w:jc w:val="start"/>
              <w:rPr/>
            </w:pPr>
            <w:r>
              <w:rPr/>
              <w:t>Hosted Campus deployment and three-participant LiveKit rehearsal</w:t>
            </w:r>
          </w:p>
        </w:tc>
        <w:tc>
          <w:tcPr>
            <w:tcW w:w="3830" w:type="dxa"/>
            <w:tcBorders/>
            <w:vAlign w:val="center"/>
          </w:tcPr>
          <w:p>
            <w:pPr>
              <w:pStyle w:val="TableContents"/>
              <w:widowControl w:val="false"/>
              <w:suppressLineNumbers/>
              <w:bidi w:val="0"/>
              <w:jc w:val="start"/>
              <w:rPr/>
            </w:pPr>
            <w:r>
              <w:rPr/>
              <w:t>Temporary staging and human-test handoff evidence; not production approval</w:t>
            </w:r>
          </w:p>
        </w:tc>
      </w:tr>
    </w:tbl>
    <w:p>
      <w:pPr>
        <w:pStyle w:val="Heading2"/>
        <w:bidi w:val="0"/>
        <w:jc w:val="start"/>
        <w:rPr/>
      </w:pPr>
      <w:r>
        <w:rPr/>
        <w:t>Objective 1 — Make the public website a trusted digital front door</w:t>
      </w:r>
    </w:p>
    <w:p>
      <w:pPr>
        <w:pStyle w:val="BodyText"/>
        <w:bidi w:val="0"/>
        <w:jc w:val="start"/>
        <w:rPr/>
      </w:pPr>
      <w:r>
        <w:rPr>
          <w:rStyle w:val="Strong"/>
        </w:rPr>
        <w:t>Outcome:</w:t>
      </w:r>
      <w:r>
        <w:rPr/>
        <w:t xml:space="preserve"> Prospective learners can find accurate course information, prices, stories and application paths quickly and confidently.</w:t>
      </w:r>
    </w:p>
    <w:tbl>
      <w:tblPr>
        <w:tblW w:w="10036" w:type="dxa"/>
        <w:jc w:val="start"/>
        <w:tblInd w:w="0" w:type="dxa"/>
        <w:tblLayout w:type="fixed"/>
        <w:tblCellMar>
          <w:top w:w="28" w:type="dxa"/>
          <w:start w:w="28" w:type="dxa"/>
          <w:bottom w:w="28" w:type="dxa"/>
          <w:end w:w="28" w:type="dxa"/>
        </w:tblCellMar>
      </w:tblPr>
      <w:tblGrid>
        <w:gridCol w:w="1578"/>
        <w:gridCol w:w="2953"/>
        <w:gridCol w:w="2965"/>
        <w:gridCol w:w="2540"/>
      </w:tblGrid>
      <w:tr>
        <w:trPr>
          <w:tblHeader w:val="true"/>
        </w:trPr>
        <w:tc>
          <w:tcPr>
            <w:tcW w:w="1578" w:type="dxa"/>
            <w:tcBorders/>
            <w:vAlign w:val="center"/>
          </w:tcPr>
          <w:p>
            <w:pPr>
              <w:pStyle w:val="TableHeading"/>
              <w:suppressLineNumbers/>
              <w:shd w:fill="33594B" w:val="clear"/>
              <w:bidi w:val="0"/>
              <w:jc w:val="start"/>
              <w:rPr/>
            </w:pPr>
            <w:r>
              <w:rPr/>
              <w:t>Key result</w:t>
            </w:r>
          </w:p>
        </w:tc>
        <w:tc>
          <w:tcPr>
            <w:tcW w:w="2953" w:type="dxa"/>
            <w:tcBorders/>
            <w:vAlign w:val="center"/>
          </w:tcPr>
          <w:p>
            <w:pPr>
              <w:pStyle w:val="TableHeading"/>
              <w:suppressLineNumbers/>
              <w:shd w:fill="33594B" w:val="clear"/>
              <w:bidi w:val="0"/>
              <w:jc w:val="start"/>
              <w:rPr/>
            </w:pPr>
            <w:r>
              <w:rPr/>
              <w:t>Baseline / evidence</w:t>
            </w:r>
          </w:p>
        </w:tc>
        <w:tc>
          <w:tcPr>
            <w:tcW w:w="2965" w:type="dxa"/>
            <w:tcBorders/>
            <w:vAlign w:val="center"/>
          </w:tcPr>
          <w:p>
            <w:pPr>
              <w:pStyle w:val="TableHeading"/>
              <w:suppressLineNumbers/>
              <w:shd w:fill="33594B" w:val="clear"/>
              <w:bidi w:val="0"/>
              <w:jc w:val="start"/>
              <w:rPr/>
            </w:pPr>
            <w:r>
              <w:rPr/>
              <w:t>Target by July 2027</w:t>
            </w:r>
          </w:p>
        </w:tc>
        <w:tc>
          <w:tcPr>
            <w:tcW w:w="2540" w:type="dxa"/>
            <w:tcBorders/>
            <w:vAlign w:val="center"/>
          </w:tcPr>
          <w:p>
            <w:pPr>
              <w:pStyle w:val="TableHeading"/>
              <w:suppressLineNumbers/>
              <w:shd w:fill="33594B" w:val="clear"/>
              <w:bidi w:val="0"/>
              <w:jc w:val="start"/>
              <w:rPr/>
            </w:pPr>
            <w:r>
              <w:rPr/>
              <w:t>Owner / decision</w:t>
            </w:r>
          </w:p>
        </w:tc>
      </w:tr>
      <w:tr>
        <w:trPr/>
        <w:tc>
          <w:tcPr>
            <w:tcW w:w="1578" w:type="dxa"/>
            <w:tcBorders/>
            <w:vAlign w:val="center"/>
          </w:tcPr>
          <w:p>
            <w:pPr>
              <w:pStyle w:val="TableContents"/>
              <w:widowControl w:val="false"/>
              <w:suppressLineNumbers/>
              <w:bidi w:val="0"/>
              <w:jc w:val="start"/>
              <w:rPr/>
            </w:pPr>
            <w:r>
              <w:rPr/>
              <w:t>Availability of priority public pages</w:t>
            </w:r>
          </w:p>
        </w:tc>
        <w:tc>
          <w:tcPr>
            <w:tcW w:w="2953" w:type="dxa"/>
            <w:tcBorders/>
            <w:vAlign w:val="center"/>
          </w:tcPr>
          <w:p>
            <w:pPr>
              <w:pStyle w:val="TableContents"/>
              <w:widowControl w:val="false"/>
              <w:suppressLineNumbers/>
              <w:bidi w:val="0"/>
              <w:jc w:val="start"/>
              <w:rPr/>
            </w:pPr>
            <w:r>
              <w:rPr/>
              <w:t>5 Jun–20 Aug: site audit, demo/production route checks and controlled cutover evidence exist; no monthly SLO history yet</w:t>
            </w:r>
          </w:p>
        </w:tc>
        <w:tc>
          <w:tcPr>
            <w:tcW w:w="2965" w:type="dxa"/>
            <w:tcBorders/>
            <w:vAlign w:val="center"/>
          </w:tcPr>
          <w:p>
            <w:pPr>
              <w:pStyle w:val="TableContents"/>
              <w:widowControl w:val="false"/>
              <w:suppressLineNumbers/>
              <w:bidi w:val="0"/>
              <w:jc w:val="start"/>
              <w:rPr/>
            </w:pPr>
            <w:r>
              <w:rPr/>
              <w:t>≥</w:t>
            </w:r>
            <w:r>
              <w:rPr/>
              <w:t>99.5% monthly availability, with every high-priority route checked after release</w:t>
            </w:r>
          </w:p>
        </w:tc>
        <w:tc>
          <w:tcPr>
            <w:tcW w:w="2540" w:type="dxa"/>
            <w:tcBorders/>
            <w:vAlign w:val="center"/>
          </w:tcPr>
          <w:p>
            <w:pPr>
              <w:pStyle w:val="TableContents"/>
              <w:widowControl w:val="false"/>
              <w:suppressLineNumbers/>
              <w:bidi w:val="0"/>
              <w:jc w:val="start"/>
              <w:rPr/>
            </w:pPr>
            <w:r>
              <w:rPr/>
              <w:t>ICT + Communications; name monitoring owner and confirm page list</w:t>
            </w:r>
          </w:p>
        </w:tc>
      </w:tr>
      <w:tr>
        <w:trPr/>
        <w:tc>
          <w:tcPr>
            <w:tcW w:w="1578" w:type="dxa"/>
            <w:tcBorders/>
            <w:vAlign w:val="center"/>
          </w:tcPr>
          <w:p>
            <w:pPr>
              <w:pStyle w:val="TableContents"/>
              <w:widowControl w:val="false"/>
              <w:suppressLineNumbers/>
              <w:bidi w:val="0"/>
              <w:jc w:val="start"/>
              <w:rPr/>
            </w:pPr>
            <w:r>
              <w:rPr/>
              <w:t>Course and price accuracy</w:t>
            </w:r>
          </w:p>
        </w:tc>
        <w:tc>
          <w:tcPr>
            <w:tcW w:w="2953" w:type="dxa"/>
            <w:tcBorders/>
            <w:vAlign w:val="center"/>
          </w:tcPr>
          <w:p>
            <w:pPr>
              <w:pStyle w:val="TableContents"/>
              <w:widowControl w:val="false"/>
              <w:suppressLineNumbers/>
              <w:bidi w:val="0"/>
              <w:jc w:val="start"/>
              <w:rPr/>
            </w:pPr>
            <w:r>
              <w:rPr/>
              <w:t>14 Jul–24 Aug: prospectus catalogue and later approved 2026 pricing were reconciled with controlled release switches</w:t>
            </w:r>
          </w:p>
        </w:tc>
        <w:tc>
          <w:tcPr>
            <w:tcW w:w="2965" w:type="dxa"/>
            <w:tcBorders/>
            <w:vAlign w:val="center"/>
          </w:tcPr>
          <w:p>
            <w:pPr>
              <w:pStyle w:val="TableContents"/>
              <w:widowControl w:val="false"/>
              <w:suppressLineNumbers/>
              <w:bidi w:val="0"/>
              <w:jc w:val="start"/>
              <w:rPr/>
            </w:pPr>
            <w:r>
              <w:rPr/>
              <w:t>100% of public course/price entries reconciled to the approved catalogue each release</w:t>
            </w:r>
          </w:p>
        </w:tc>
        <w:tc>
          <w:tcPr>
            <w:tcW w:w="2540" w:type="dxa"/>
            <w:tcBorders/>
            <w:vAlign w:val="center"/>
          </w:tcPr>
          <w:p>
            <w:pPr>
              <w:pStyle w:val="TableContents"/>
              <w:widowControl w:val="false"/>
              <w:suppressLineNumbers/>
              <w:bidi w:val="0"/>
              <w:jc w:val="start"/>
              <w:rPr/>
            </w:pPr>
            <w:r>
              <w:rPr/>
              <w:t>Admissions + Finance; name sign-off owner</w:t>
            </w:r>
          </w:p>
        </w:tc>
      </w:tr>
      <w:tr>
        <w:trPr/>
        <w:tc>
          <w:tcPr>
            <w:tcW w:w="1578" w:type="dxa"/>
            <w:tcBorders/>
            <w:vAlign w:val="center"/>
          </w:tcPr>
          <w:p>
            <w:pPr>
              <w:pStyle w:val="TableContents"/>
              <w:widowControl w:val="false"/>
              <w:suppressLineNumbers/>
              <w:bidi w:val="0"/>
              <w:jc w:val="start"/>
              <w:rPr/>
            </w:pPr>
            <w:r>
              <w:rPr/>
              <w:t>Application journey reliability</w:t>
            </w:r>
          </w:p>
        </w:tc>
        <w:tc>
          <w:tcPr>
            <w:tcW w:w="2953" w:type="dxa"/>
            <w:tcBorders/>
            <w:vAlign w:val="center"/>
          </w:tcPr>
          <w:p>
            <w:pPr>
              <w:pStyle w:val="TableContents"/>
              <w:widowControl w:val="false"/>
              <w:suppressLineNumbers/>
              <w:bidi w:val="0"/>
              <w:jc w:val="start"/>
              <w:rPr/>
            </w:pPr>
            <w:r>
              <w:rPr/>
              <w:t>Jul–24 Aug: application entry points, website-to-Reception relay and applicant encryption were implemented and verified</w:t>
            </w:r>
          </w:p>
        </w:tc>
        <w:tc>
          <w:tcPr>
            <w:tcW w:w="2965" w:type="dxa"/>
            <w:tcBorders/>
            <w:vAlign w:val="center"/>
          </w:tcPr>
          <w:p>
            <w:pPr>
              <w:pStyle w:val="TableContents"/>
              <w:widowControl w:val="false"/>
              <w:suppressLineNumbers/>
              <w:bidi w:val="0"/>
              <w:jc w:val="start"/>
              <w:rPr/>
            </w:pPr>
            <w:r>
              <w:rPr/>
              <w:t>≥</w:t>
            </w:r>
            <w:r>
              <w:rPr/>
              <w:t>98% of valid demo submissions reach the authorised destination; production mail remains fail-closed until authenticated delivery is approved</w:t>
            </w:r>
          </w:p>
        </w:tc>
        <w:tc>
          <w:tcPr>
            <w:tcW w:w="2540" w:type="dxa"/>
            <w:tcBorders/>
            <w:vAlign w:val="center"/>
          </w:tcPr>
          <w:p>
            <w:pPr>
              <w:pStyle w:val="TableContents"/>
              <w:widowControl w:val="false"/>
              <w:suppressLineNumbers/>
              <w:bidi w:val="0"/>
              <w:jc w:val="start"/>
              <w:rPr/>
            </w:pPr>
            <w:r>
              <w:rPr/>
              <w:t>ICT + Admissions; approve mail provider</w:t>
            </w:r>
          </w:p>
        </w:tc>
      </w:tr>
      <w:tr>
        <w:trPr/>
        <w:tc>
          <w:tcPr>
            <w:tcW w:w="1578" w:type="dxa"/>
            <w:tcBorders/>
            <w:vAlign w:val="center"/>
          </w:tcPr>
          <w:p>
            <w:pPr>
              <w:pStyle w:val="TableContents"/>
              <w:widowControl w:val="false"/>
              <w:suppressLineNumbers/>
              <w:bidi w:val="0"/>
              <w:jc w:val="start"/>
              <w:rPr/>
            </w:pPr>
            <w:r>
              <w:rPr/>
              <w:t>Security maintenance</w:t>
            </w:r>
          </w:p>
        </w:tc>
        <w:tc>
          <w:tcPr>
            <w:tcW w:w="2953" w:type="dxa"/>
            <w:tcBorders/>
            <w:vAlign w:val="center"/>
          </w:tcPr>
          <w:p>
            <w:pPr>
              <w:pStyle w:val="TableContents"/>
              <w:widowControl w:val="false"/>
              <w:suppressLineNumbers/>
              <w:bidi w:val="0"/>
              <w:jc w:val="start"/>
              <w:rPr/>
            </w:pPr>
            <w:r>
              <w:rPr/>
              <w:t>10 Jun–20 Aug: sensitive-file blocking, rollout hardening and Element Pack Lite containment were recorded; patched Eduma release remains open</w:t>
            </w:r>
          </w:p>
        </w:tc>
        <w:tc>
          <w:tcPr>
            <w:tcW w:w="2965" w:type="dxa"/>
            <w:tcBorders/>
            <w:vAlign w:val="center"/>
          </w:tcPr>
          <w:p>
            <w:pPr>
              <w:pStyle w:val="TableContents"/>
              <w:widowControl w:val="false"/>
              <w:suppressLineNumbers/>
              <w:bidi w:val="0"/>
              <w:jc w:val="start"/>
              <w:rPr/>
            </w:pPr>
            <w:r>
              <w:rPr/>
              <w:t>Patched theme deployed through demo-first review; zero known critical/high findings after each release</w:t>
            </w:r>
          </w:p>
        </w:tc>
        <w:tc>
          <w:tcPr>
            <w:tcW w:w="2540" w:type="dxa"/>
            <w:tcBorders/>
            <w:vAlign w:val="center"/>
          </w:tcPr>
          <w:p>
            <w:pPr>
              <w:pStyle w:val="TableContents"/>
              <w:widowControl w:val="false"/>
              <w:suppressLineNumbers/>
              <w:bidi w:val="0"/>
              <w:jc w:val="start"/>
              <w:rPr/>
            </w:pPr>
            <w:r>
              <w:rPr/>
              <w:t>ICT; approve maintenance window</w:t>
            </w:r>
          </w:p>
        </w:tc>
      </w:tr>
    </w:tbl>
    <w:p>
      <w:pPr>
        <w:pStyle w:val="Heading2"/>
        <w:bidi w:val="0"/>
        <w:jc w:val="start"/>
        <w:rPr/>
      </w:pPr>
      <w:r>
        <w:rPr/>
        <w:t>Objective 2 — Replace paper-first reception with a consistent, secure welcome</w:t>
      </w:r>
    </w:p>
    <w:p>
      <w:pPr>
        <w:pStyle w:val="BodyText"/>
        <w:bidi w:val="0"/>
        <w:jc w:val="start"/>
        <w:rPr/>
      </w:pPr>
      <w:r>
        <w:rPr>
          <w:rStyle w:val="Strong"/>
        </w:rPr>
        <w:t>Outcome:</w:t>
      </w:r>
      <w:r>
        <w:rPr/>
        <w:t xml:space="preserve"> Visitors and applicants complete a guided check-in while staff retain accurate records without manual filing.</w:t>
      </w:r>
    </w:p>
    <w:tbl>
      <w:tblPr>
        <w:tblW w:w="10036" w:type="dxa"/>
        <w:jc w:val="start"/>
        <w:tblInd w:w="0" w:type="dxa"/>
        <w:tblLayout w:type="fixed"/>
        <w:tblCellMar>
          <w:top w:w="28" w:type="dxa"/>
          <w:start w:w="28" w:type="dxa"/>
          <w:bottom w:w="28" w:type="dxa"/>
          <w:end w:w="28" w:type="dxa"/>
        </w:tblCellMar>
      </w:tblPr>
      <w:tblGrid>
        <w:gridCol w:w="1767"/>
        <w:gridCol w:w="3207"/>
        <w:gridCol w:w="2597"/>
        <w:gridCol w:w="2465"/>
      </w:tblGrid>
      <w:tr>
        <w:trPr>
          <w:tblHeader w:val="true"/>
        </w:trPr>
        <w:tc>
          <w:tcPr>
            <w:tcW w:w="1767" w:type="dxa"/>
            <w:tcBorders/>
            <w:vAlign w:val="center"/>
          </w:tcPr>
          <w:p>
            <w:pPr>
              <w:pStyle w:val="TableHeading"/>
              <w:suppressLineNumbers/>
              <w:shd w:fill="33594B" w:val="clear"/>
              <w:bidi w:val="0"/>
              <w:jc w:val="start"/>
              <w:rPr/>
            </w:pPr>
            <w:r>
              <w:rPr/>
              <w:t>Key result</w:t>
            </w:r>
          </w:p>
        </w:tc>
        <w:tc>
          <w:tcPr>
            <w:tcW w:w="3207" w:type="dxa"/>
            <w:tcBorders/>
            <w:vAlign w:val="center"/>
          </w:tcPr>
          <w:p>
            <w:pPr>
              <w:pStyle w:val="TableHeading"/>
              <w:suppressLineNumbers/>
              <w:shd w:fill="33594B" w:val="clear"/>
              <w:bidi w:val="0"/>
              <w:jc w:val="start"/>
              <w:rPr/>
            </w:pPr>
            <w:r>
              <w:rPr/>
              <w:t>Baseline / evidence</w:t>
            </w:r>
          </w:p>
        </w:tc>
        <w:tc>
          <w:tcPr>
            <w:tcW w:w="2597" w:type="dxa"/>
            <w:tcBorders/>
            <w:vAlign w:val="center"/>
          </w:tcPr>
          <w:p>
            <w:pPr>
              <w:pStyle w:val="TableHeading"/>
              <w:suppressLineNumbers/>
              <w:shd w:fill="33594B" w:val="clear"/>
              <w:bidi w:val="0"/>
              <w:jc w:val="start"/>
              <w:rPr/>
            </w:pPr>
            <w:r>
              <w:rPr/>
              <w:t>Target by July 2027</w:t>
            </w:r>
          </w:p>
        </w:tc>
        <w:tc>
          <w:tcPr>
            <w:tcW w:w="2465" w:type="dxa"/>
            <w:tcBorders/>
            <w:vAlign w:val="center"/>
          </w:tcPr>
          <w:p>
            <w:pPr>
              <w:pStyle w:val="TableHeading"/>
              <w:suppressLineNumbers/>
              <w:shd w:fill="33594B" w:val="clear"/>
              <w:bidi w:val="0"/>
              <w:jc w:val="start"/>
              <w:rPr/>
            </w:pPr>
            <w:r>
              <w:rPr/>
              <w:t>Owner / decision</w:t>
            </w:r>
          </w:p>
        </w:tc>
      </w:tr>
      <w:tr>
        <w:trPr/>
        <w:tc>
          <w:tcPr>
            <w:tcW w:w="1767" w:type="dxa"/>
            <w:tcBorders/>
            <w:vAlign w:val="center"/>
          </w:tcPr>
          <w:p>
            <w:pPr>
              <w:pStyle w:val="TableContents"/>
              <w:widowControl w:val="false"/>
              <w:suppressLineNumbers/>
              <w:bidi w:val="0"/>
              <w:jc w:val="start"/>
              <w:rPr/>
            </w:pPr>
            <w:r>
              <w:rPr/>
              <w:t>Digital registration coverage</w:t>
            </w:r>
          </w:p>
        </w:tc>
        <w:tc>
          <w:tcPr>
            <w:tcW w:w="3207" w:type="dxa"/>
            <w:tcBorders/>
            <w:vAlign w:val="center"/>
          </w:tcPr>
          <w:p>
            <w:pPr>
              <w:pStyle w:val="TableContents"/>
              <w:widowControl w:val="false"/>
              <w:suppressLineNumbers/>
              <w:bidi w:val="0"/>
              <w:jc w:val="start"/>
              <w:rPr/>
            </w:pPr>
            <w:r>
              <w:rPr/>
              <w:t>17 Jul–28 Aug: secure reception foundation, QR modes, autosave drafts and completion attribution were implemented</w:t>
            </w:r>
          </w:p>
        </w:tc>
        <w:tc>
          <w:tcPr>
            <w:tcW w:w="2597" w:type="dxa"/>
            <w:tcBorders/>
            <w:vAlign w:val="center"/>
          </w:tcPr>
          <w:p>
            <w:pPr>
              <w:pStyle w:val="TableContents"/>
              <w:widowControl w:val="false"/>
              <w:suppressLineNumbers/>
              <w:bidi w:val="0"/>
              <w:jc w:val="start"/>
              <w:rPr/>
            </w:pPr>
            <w:r>
              <w:rPr/>
              <w:t>≥</w:t>
            </w:r>
            <w:r>
              <w:rPr/>
              <w:t>90% of eligible on-site registrations captured digitally, measured monthly</w:t>
            </w:r>
          </w:p>
        </w:tc>
        <w:tc>
          <w:tcPr>
            <w:tcW w:w="2465" w:type="dxa"/>
            <w:tcBorders/>
            <w:vAlign w:val="center"/>
          </w:tcPr>
          <w:p>
            <w:pPr>
              <w:pStyle w:val="TableContents"/>
              <w:widowControl w:val="false"/>
              <w:suppressLineNumbers/>
              <w:bidi w:val="0"/>
              <w:jc w:val="start"/>
              <w:rPr/>
            </w:pPr>
            <w:r>
              <w:rPr/>
              <w:t>Reception lead; confirm eligible-visit denominator</w:t>
            </w:r>
          </w:p>
        </w:tc>
      </w:tr>
      <w:tr>
        <w:trPr/>
        <w:tc>
          <w:tcPr>
            <w:tcW w:w="1767" w:type="dxa"/>
            <w:tcBorders/>
            <w:vAlign w:val="center"/>
          </w:tcPr>
          <w:p>
            <w:pPr>
              <w:pStyle w:val="TableContents"/>
              <w:widowControl w:val="false"/>
              <w:suppressLineNumbers/>
              <w:bidi w:val="0"/>
              <w:jc w:val="start"/>
              <w:rPr/>
            </w:pPr>
            <w:r>
              <w:rPr/>
              <w:t>Data completeness</w:t>
            </w:r>
          </w:p>
        </w:tc>
        <w:tc>
          <w:tcPr>
            <w:tcW w:w="3207" w:type="dxa"/>
            <w:tcBorders/>
            <w:vAlign w:val="center"/>
          </w:tcPr>
          <w:p>
            <w:pPr>
              <w:pStyle w:val="TableContents"/>
              <w:widowControl w:val="false"/>
              <w:suppressLineNumbers/>
              <w:bidi w:val="0"/>
              <w:jc w:val="start"/>
              <w:rPr/>
            </w:pPr>
            <w:r>
              <w:rPr/>
              <w:t xml:space="preserve">Required fields and </w:t>
            </w:r>
            <w:r>
              <w:rPr>
                <w:rStyle w:val="SourceText"/>
              </w:rPr>
              <w:t>Other</w:t>
            </w:r>
            <w:r>
              <w:rPr/>
              <w:t xml:space="preserve"> explanation are enforced</w:t>
            </w:r>
          </w:p>
        </w:tc>
        <w:tc>
          <w:tcPr>
            <w:tcW w:w="2597" w:type="dxa"/>
            <w:tcBorders/>
            <w:vAlign w:val="center"/>
          </w:tcPr>
          <w:p>
            <w:pPr>
              <w:pStyle w:val="TableContents"/>
              <w:widowControl w:val="false"/>
              <w:suppressLineNumbers/>
              <w:bidi w:val="0"/>
              <w:jc w:val="start"/>
              <w:rPr/>
            </w:pPr>
            <w:r>
              <w:rPr/>
              <w:t>≥</w:t>
            </w:r>
            <w:r>
              <w:rPr/>
              <w:t>95% of completed records contain all required contact/course fields</w:t>
            </w:r>
          </w:p>
        </w:tc>
        <w:tc>
          <w:tcPr>
            <w:tcW w:w="2465" w:type="dxa"/>
            <w:tcBorders/>
            <w:vAlign w:val="center"/>
          </w:tcPr>
          <w:p>
            <w:pPr>
              <w:pStyle w:val="TableContents"/>
              <w:widowControl w:val="false"/>
              <w:suppressLineNumbers/>
              <w:bidi w:val="0"/>
              <w:jc w:val="start"/>
              <w:rPr/>
            </w:pPr>
            <w:r>
              <w:rPr/>
              <w:t>Reception lead</w:t>
            </w:r>
          </w:p>
        </w:tc>
      </w:tr>
      <w:tr>
        <w:trPr/>
        <w:tc>
          <w:tcPr>
            <w:tcW w:w="1767" w:type="dxa"/>
            <w:tcBorders/>
            <w:vAlign w:val="center"/>
          </w:tcPr>
          <w:p>
            <w:pPr>
              <w:pStyle w:val="TableContents"/>
              <w:widowControl w:val="false"/>
              <w:suppressLineNumbers/>
              <w:bidi w:val="0"/>
              <w:jc w:val="start"/>
              <w:rPr/>
            </w:pPr>
            <w:r>
              <w:rPr/>
              <w:t>Follow-up responsiveness</w:t>
            </w:r>
          </w:p>
        </w:tc>
        <w:tc>
          <w:tcPr>
            <w:tcW w:w="3207" w:type="dxa"/>
            <w:tcBorders/>
            <w:vAlign w:val="center"/>
          </w:tcPr>
          <w:p>
            <w:pPr>
              <w:pStyle w:val="TableContents"/>
              <w:widowControl w:val="false"/>
              <w:suppressLineNumbers/>
              <w:bidi w:val="0"/>
              <w:jc w:val="start"/>
              <w:rPr/>
            </w:pPr>
            <w:r>
              <w:rPr/>
              <w:t>Staff records and exports exist; WhatsApp delivery is not enabled</w:t>
            </w:r>
          </w:p>
        </w:tc>
        <w:tc>
          <w:tcPr>
            <w:tcW w:w="2597" w:type="dxa"/>
            <w:tcBorders/>
            <w:vAlign w:val="center"/>
          </w:tcPr>
          <w:p>
            <w:pPr>
              <w:pStyle w:val="TableContents"/>
              <w:widowControl w:val="false"/>
              <w:suppressLineNumbers/>
              <w:bidi w:val="0"/>
              <w:jc w:val="start"/>
              <w:rPr/>
            </w:pPr>
            <w:r>
              <w:rPr/>
              <w:t>90% of records requiring follow-up have a logged outcome within two working days</w:t>
            </w:r>
          </w:p>
        </w:tc>
        <w:tc>
          <w:tcPr>
            <w:tcW w:w="2465" w:type="dxa"/>
            <w:tcBorders/>
            <w:vAlign w:val="center"/>
          </w:tcPr>
          <w:p>
            <w:pPr>
              <w:pStyle w:val="TableContents"/>
              <w:widowControl w:val="false"/>
              <w:suppressLineNumbers/>
              <w:bidi w:val="0"/>
              <w:jc w:val="start"/>
              <w:rPr/>
            </w:pPr>
            <w:r>
              <w:rPr/>
              <w:t>Reception + Admissions; approve WhatsApp owner/template</w:t>
            </w:r>
          </w:p>
        </w:tc>
      </w:tr>
      <w:tr>
        <w:trPr/>
        <w:tc>
          <w:tcPr>
            <w:tcW w:w="1767" w:type="dxa"/>
            <w:tcBorders/>
            <w:vAlign w:val="center"/>
          </w:tcPr>
          <w:p>
            <w:pPr>
              <w:pStyle w:val="TableContents"/>
              <w:widowControl w:val="false"/>
              <w:suppressLineNumbers/>
              <w:bidi w:val="0"/>
              <w:jc w:val="start"/>
              <w:rPr/>
            </w:pPr>
            <w:r>
              <w:rPr/>
              <w:t>Privacy and access</w:t>
            </w:r>
          </w:p>
        </w:tc>
        <w:tc>
          <w:tcPr>
            <w:tcW w:w="3207" w:type="dxa"/>
            <w:tcBorders/>
            <w:vAlign w:val="center"/>
          </w:tcPr>
          <w:p>
            <w:pPr>
              <w:pStyle w:val="TableContents"/>
              <w:widowControl w:val="false"/>
              <w:suppressLineNumbers/>
              <w:bidi w:val="0"/>
              <w:jc w:val="start"/>
              <w:rPr/>
            </w:pPr>
            <w:r>
              <w:rPr/>
              <w:t>Private staff path, encryption, throttling and audit logs are deployed</w:t>
            </w:r>
          </w:p>
        </w:tc>
        <w:tc>
          <w:tcPr>
            <w:tcW w:w="2597" w:type="dxa"/>
            <w:tcBorders/>
            <w:vAlign w:val="center"/>
          </w:tcPr>
          <w:p>
            <w:pPr>
              <w:pStyle w:val="TableContents"/>
              <w:widowControl w:val="false"/>
              <w:suppressLineNumbers/>
              <w:bidi w:val="0"/>
              <w:jc w:val="start"/>
              <w:rPr/>
            </w:pPr>
            <w:r>
              <w:rPr/>
              <w:t>Zero unauthorised staff-area access events; quarterly access review completed</w:t>
            </w:r>
          </w:p>
        </w:tc>
        <w:tc>
          <w:tcPr>
            <w:tcW w:w="2465" w:type="dxa"/>
            <w:tcBorders/>
            <w:vAlign w:val="center"/>
          </w:tcPr>
          <w:p>
            <w:pPr>
              <w:pStyle w:val="TableContents"/>
              <w:widowControl w:val="false"/>
              <w:suppressLineNumbers/>
              <w:bidi w:val="0"/>
              <w:jc w:val="start"/>
              <w:rPr/>
            </w:pPr>
            <w:r>
              <w:rPr/>
              <w:t>ICT + Administration</w:t>
            </w:r>
          </w:p>
        </w:tc>
      </w:tr>
    </w:tbl>
    <w:p>
      <w:pPr>
        <w:pStyle w:val="Heading2"/>
        <w:bidi w:val="0"/>
        <w:jc w:val="start"/>
        <w:rPr/>
      </w:pPr>
      <w:r>
        <w:rPr/>
        <w:t>Objective 3 — Deliver a safe, learner-friendly Virtual Campus pilot</w:t>
      </w:r>
    </w:p>
    <w:p>
      <w:pPr>
        <w:pStyle w:val="BodyText"/>
        <w:bidi w:val="0"/>
        <w:jc w:val="start"/>
        <w:rPr/>
      </w:pPr>
      <w:r>
        <w:rPr>
          <w:rStyle w:val="Strong"/>
        </w:rPr>
        <w:t>Outcome:</w:t>
      </w:r>
      <w:r>
        <w:rPr/>
        <w:t xml:space="preserve"> A small approved learner group can learn, submit evidence and join live classes with clear support and reliable progress records.</w:t>
      </w:r>
    </w:p>
    <w:tbl>
      <w:tblPr>
        <w:tblW w:w="10036" w:type="dxa"/>
        <w:jc w:val="start"/>
        <w:tblInd w:w="0" w:type="dxa"/>
        <w:tblLayout w:type="fixed"/>
        <w:tblCellMar>
          <w:top w:w="28" w:type="dxa"/>
          <w:start w:w="28" w:type="dxa"/>
          <w:bottom w:w="28" w:type="dxa"/>
          <w:end w:w="28" w:type="dxa"/>
        </w:tblCellMar>
      </w:tblPr>
      <w:tblGrid>
        <w:gridCol w:w="1859"/>
        <w:gridCol w:w="3482"/>
        <w:gridCol w:w="2758"/>
        <w:gridCol w:w="1937"/>
      </w:tblGrid>
      <w:tr>
        <w:trPr>
          <w:tblHeader w:val="true"/>
        </w:trPr>
        <w:tc>
          <w:tcPr>
            <w:tcW w:w="1859" w:type="dxa"/>
            <w:tcBorders/>
            <w:vAlign w:val="center"/>
          </w:tcPr>
          <w:p>
            <w:pPr>
              <w:pStyle w:val="TableHeading"/>
              <w:suppressLineNumbers/>
              <w:shd w:fill="33594B" w:val="clear"/>
              <w:bidi w:val="0"/>
              <w:jc w:val="start"/>
              <w:rPr/>
            </w:pPr>
            <w:r>
              <w:rPr/>
              <w:t>Key result</w:t>
            </w:r>
          </w:p>
        </w:tc>
        <w:tc>
          <w:tcPr>
            <w:tcW w:w="3482" w:type="dxa"/>
            <w:tcBorders/>
            <w:vAlign w:val="center"/>
          </w:tcPr>
          <w:p>
            <w:pPr>
              <w:pStyle w:val="TableHeading"/>
              <w:suppressLineNumbers/>
              <w:shd w:fill="33594B" w:val="clear"/>
              <w:bidi w:val="0"/>
              <w:jc w:val="start"/>
              <w:rPr/>
            </w:pPr>
            <w:r>
              <w:rPr/>
              <w:t>Baseline / evidence</w:t>
            </w:r>
          </w:p>
        </w:tc>
        <w:tc>
          <w:tcPr>
            <w:tcW w:w="2758" w:type="dxa"/>
            <w:tcBorders/>
            <w:vAlign w:val="center"/>
          </w:tcPr>
          <w:p>
            <w:pPr>
              <w:pStyle w:val="TableHeading"/>
              <w:suppressLineNumbers/>
              <w:shd w:fill="33594B" w:val="clear"/>
              <w:bidi w:val="0"/>
              <w:jc w:val="start"/>
              <w:rPr/>
            </w:pPr>
            <w:r>
              <w:rPr/>
              <w:t>Target by July 2027</w:t>
            </w:r>
          </w:p>
        </w:tc>
        <w:tc>
          <w:tcPr>
            <w:tcW w:w="1937" w:type="dxa"/>
            <w:tcBorders/>
            <w:vAlign w:val="center"/>
          </w:tcPr>
          <w:p>
            <w:pPr>
              <w:pStyle w:val="TableHeading"/>
              <w:suppressLineNumbers/>
              <w:shd w:fill="33594B" w:val="clear"/>
              <w:bidi w:val="0"/>
              <w:jc w:val="start"/>
              <w:rPr/>
            </w:pPr>
            <w:r>
              <w:rPr/>
              <w:t>Owner / decision</w:t>
            </w:r>
          </w:p>
        </w:tc>
      </w:tr>
      <w:tr>
        <w:trPr/>
        <w:tc>
          <w:tcPr>
            <w:tcW w:w="1859" w:type="dxa"/>
            <w:tcBorders/>
            <w:vAlign w:val="center"/>
          </w:tcPr>
          <w:p>
            <w:pPr>
              <w:pStyle w:val="TableContents"/>
              <w:widowControl w:val="false"/>
              <w:suppressLineNumbers/>
              <w:bidi w:val="0"/>
              <w:jc w:val="start"/>
              <w:rPr/>
            </w:pPr>
            <w:r>
              <w:rPr/>
              <w:t>Pilot launch</w:t>
            </w:r>
          </w:p>
        </w:tc>
        <w:tc>
          <w:tcPr>
            <w:tcW w:w="3482" w:type="dxa"/>
            <w:tcBorders/>
            <w:vAlign w:val="center"/>
          </w:tcPr>
          <w:p>
            <w:pPr>
              <w:pStyle w:val="TableContents"/>
              <w:widowControl w:val="false"/>
              <w:suppressLineNumbers/>
              <w:bidi w:val="0"/>
              <w:jc w:val="start"/>
              <w:rPr/>
            </w:pPr>
            <w:r>
              <w:rPr/>
              <w:t>1 Sep: temporary staging and a hosted LiveKit rehearsal passed with one lecturer and two learners; production approval remains blocked on owner/policy inputs</w:t>
            </w:r>
          </w:p>
        </w:tc>
        <w:tc>
          <w:tcPr>
            <w:tcW w:w="2758" w:type="dxa"/>
            <w:tcBorders/>
            <w:vAlign w:val="center"/>
          </w:tcPr>
          <w:p>
            <w:pPr>
              <w:pStyle w:val="TableContents"/>
              <w:widowControl w:val="false"/>
              <w:suppressLineNumbers/>
              <w:bidi w:val="0"/>
              <w:jc w:val="start"/>
              <w:rPr/>
            </w:pPr>
            <w:r>
              <w:rPr/>
              <w:t>Run an approved pilot with a named lecturer and learner cohort, then publish a review decision</w:t>
            </w:r>
          </w:p>
        </w:tc>
        <w:tc>
          <w:tcPr>
            <w:tcW w:w="1937" w:type="dxa"/>
            <w:tcBorders/>
            <w:vAlign w:val="center"/>
          </w:tcPr>
          <w:p>
            <w:pPr>
              <w:pStyle w:val="TableContents"/>
              <w:widowControl w:val="false"/>
              <w:suppressLineNumbers/>
              <w:bidi w:val="0"/>
              <w:jc w:val="start"/>
              <w:rPr/>
            </w:pPr>
            <w:r>
              <w:rPr/>
              <w:t>Academic lead + ICT; approve cohort and production topology</w:t>
            </w:r>
          </w:p>
        </w:tc>
      </w:tr>
      <w:tr>
        <w:trPr/>
        <w:tc>
          <w:tcPr>
            <w:tcW w:w="1859" w:type="dxa"/>
            <w:tcBorders/>
            <w:vAlign w:val="center"/>
          </w:tcPr>
          <w:p>
            <w:pPr>
              <w:pStyle w:val="TableContents"/>
              <w:widowControl w:val="false"/>
              <w:suppressLineNumbers/>
              <w:bidi w:val="0"/>
              <w:jc w:val="start"/>
              <w:rPr/>
            </w:pPr>
            <w:r>
              <w:rPr/>
              <w:t>Learning evidence</w:t>
            </w:r>
          </w:p>
        </w:tc>
        <w:tc>
          <w:tcPr>
            <w:tcW w:w="3482" w:type="dxa"/>
            <w:tcBorders/>
            <w:vAlign w:val="center"/>
          </w:tcPr>
          <w:p>
            <w:pPr>
              <w:pStyle w:val="TableContents"/>
              <w:widowControl w:val="false"/>
              <w:suppressLineNumbers/>
              <w:bidi w:val="0"/>
              <w:jc w:val="start"/>
              <w:rPr/>
            </w:pPr>
            <w:r>
              <w:rPr/>
              <w:t>Video heartbeats/resume, checkpoints, assignments and assessment authoring are implemented locally</w:t>
            </w:r>
          </w:p>
        </w:tc>
        <w:tc>
          <w:tcPr>
            <w:tcW w:w="2758" w:type="dxa"/>
            <w:tcBorders/>
            <w:vAlign w:val="center"/>
          </w:tcPr>
          <w:p>
            <w:pPr>
              <w:pStyle w:val="TableContents"/>
              <w:widowControl w:val="false"/>
              <w:suppressLineNumbers/>
              <w:bidi w:val="0"/>
              <w:jc w:val="start"/>
              <w:rPr/>
            </w:pPr>
            <w:r>
              <w:rPr/>
              <w:t>≥</w:t>
            </w:r>
            <w:r>
              <w:rPr/>
              <w:t>90% of pilot learner progress events have verifiable evidence, not self-asserted completion</w:t>
            </w:r>
          </w:p>
        </w:tc>
        <w:tc>
          <w:tcPr>
            <w:tcW w:w="1937" w:type="dxa"/>
            <w:tcBorders/>
            <w:vAlign w:val="center"/>
          </w:tcPr>
          <w:p>
            <w:pPr>
              <w:pStyle w:val="TableContents"/>
              <w:widowControl w:val="false"/>
              <w:suppressLineNumbers/>
              <w:bidi w:val="0"/>
              <w:jc w:val="start"/>
              <w:rPr/>
            </w:pPr>
            <w:r>
              <w:rPr/>
              <w:t>Registrar + Academic lead; approve evidence policy</w:t>
            </w:r>
          </w:p>
        </w:tc>
      </w:tr>
      <w:tr>
        <w:trPr/>
        <w:tc>
          <w:tcPr>
            <w:tcW w:w="1859" w:type="dxa"/>
            <w:tcBorders/>
            <w:vAlign w:val="center"/>
          </w:tcPr>
          <w:p>
            <w:pPr>
              <w:pStyle w:val="TableContents"/>
              <w:widowControl w:val="false"/>
              <w:suppressLineNumbers/>
              <w:bidi w:val="0"/>
              <w:jc w:val="start"/>
              <w:rPr/>
            </w:pPr>
            <w:r>
              <w:rPr/>
              <w:t>Live-class experience</w:t>
            </w:r>
          </w:p>
        </w:tc>
        <w:tc>
          <w:tcPr>
            <w:tcW w:w="3482" w:type="dxa"/>
            <w:tcBorders/>
            <w:vAlign w:val="center"/>
          </w:tcPr>
          <w:p>
            <w:pPr>
              <w:pStyle w:val="TableContents"/>
              <w:widowControl w:val="false"/>
              <w:suppressLineNumbers/>
              <w:bidi w:val="0"/>
              <w:jc w:val="start"/>
              <w:rPr/>
            </w:pPr>
            <w:r>
              <w:rPr/>
              <w:t>Two-way video/audio, captions, screen sharing, role labels and leave controls verified locally</w:t>
            </w:r>
          </w:p>
        </w:tc>
        <w:tc>
          <w:tcPr>
            <w:tcW w:w="2758" w:type="dxa"/>
            <w:tcBorders/>
            <w:vAlign w:val="center"/>
          </w:tcPr>
          <w:p>
            <w:pPr>
              <w:pStyle w:val="TableContents"/>
              <w:widowControl w:val="false"/>
              <w:suppressLineNumbers/>
              <w:bidi w:val="0"/>
              <w:jc w:val="start"/>
              <w:rPr/>
            </w:pPr>
            <w:r>
              <w:rPr/>
              <w:t>≥</w:t>
            </w:r>
            <w:r>
              <w:rPr/>
              <w:t>95% of scheduled pilot classes complete without a critical learner-blocking incident</w:t>
            </w:r>
          </w:p>
        </w:tc>
        <w:tc>
          <w:tcPr>
            <w:tcW w:w="1937" w:type="dxa"/>
            <w:tcBorders/>
            <w:vAlign w:val="center"/>
          </w:tcPr>
          <w:p>
            <w:pPr>
              <w:pStyle w:val="TableContents"/>
              <w:widowControl w:val="false"/>
              <w:suppressLineNumbers/>
              <w:bidi w:val="0"/>
              <w:jc w:val="start"/>
              <w:rPr/>
            </w:pPr>
            <w:r>
              <w:rPr/>
              <w:t>Lecturer lead + ICT; approve support escalation</w:t>
            </w:r>
          </w:p>
        </w:tc>
      </w:tr>
      <w:tr>
        <w:trPr/>
        <w:tc>
          <w:tcPr>
            <w:tcW w:w="1859" w:type="dxa"/>
            <w:tcBorders/>
            <w:vAlign w:val="center"/>
          </w:tcPr>
          <w:p>
            <w:pPr>
              <w:pStyle w:val="TableContents"/>
              <w:widowControl w:val="false"/>
              <w:suppressLineNumbers/>
              <w:bidi w:val="0"/>
              <w:jc w:val="start"/>
              <w:rPr/>
            </w:pPr>
            <w:r>
              <w:rPr/>
              <w:t>Accessibility and low-bandwidth support</w:t>
            </w:r>
          </w:p>
        </w:tc>
        <w:tc>
          <w:tcPr>
            <w:tcW w:w="3482" w:type="dxa"/>
            <w:tcBorders/>
            <w:vAlign w:val="center"/>
          </w:tcPr>
          <w:p>
            <w:pPr>
              <w:pStyle w:val="TableContents"/>
              <w:widowControl w:val="false"/>
              <w:suppressLineNumbers/>
              <w:bidi w:val="0"/>
              <w:jc w:val="start"/>
              <w:rPr/>
            </w:pPr>
            <w:r>
              <w:rPr/>
              <w:t>Captions, reduced-motion/text fallbacks and lower-data media exist locally</w:t>
            </w:r>
          </w:p>
        </w:tc>
        <w:tc>
          <w:tcPr>
            <w:tcW w:w="2758" w:type="dxa"/>
            <w:tcBorders/>
            <w:vAlign w:val="center"/>
          </w:tcPr>
          <w:p>
            <w:pPr>
              <w:pStyle w:val="TableContents"/>
              <w:widowControl w:val="false"/>
              <w:suppressLineNumbers/>
              <w:bidi w:val="0"/>
              <w:jc w:val="start"/>
              <w:rPr/>
            </w:pPr>
            <w:r>
              <w:rPr/>
              <w:t>100% of pilot lesson videos have captions and a documented low-bandwidth option</w:t>
            </w:r>
          </w:p>
        </w:tc>
        <w:tc>
          <w:tcPr>
            <w:tcW w:w="1937" w:type="dxa"/>
            <w:tcBorders/>
            <w:vAlign w:val="center"/>
          </w:tcPr>
          <w:p>
            <w:pPr>
              <w:pStyle w:val="TableContents"/>
              <w:widowControl w:val="false"/>
              <w:suppressLineNumbers/>
              <w:bidi w:val="0"/>
              <w:jc w:val="start"/>
              <w:rPr/>
            </w:pPr>
            <w:r>
              <w:rPr/>
              <w:t>Academic lead</w:t>
            </w:r>
          </w:p>
        </w:tc>
      </w:tr>
    </w:tbl>
    <w:p>
      <w:pPr>
        <w:pStyle w:val="Heading2"/>
        <w:bidi w:val="0"/>
        <w:jc w:val="start"/>
        <w:rPr/>
      </w:pPr>
      <w:r>
        <w:rPr/>
        <w:t>Objective 4 — Turn Smart Lecturer into governed learner support</w:t>
      </w:r>
    </w:p>
    <w:p>
      <w:pPr>
        <w:pStyle w:val="BodyText"/>
        <w:bidi w:val="0"/>
        <w:jc w:val="start"/>
        <w:rPr/>
      </w:pPr>
      <w:r>
        <w:rPr>
          <w:rStyle w:val="Strong"/>
        </w:rPr>
        <w:t>Outcome:</w:t>
      </w:r>
      <w:r>
        <w:rPr/>
        <w:t xml:space="preserve"> Learners receive useful, consistent answers without the system inventing policies, fees or admissions decisions.</w:t>
      </w:r>
    </w:p>
    <w:tbl>
      <w:tblPr>
        <w:tblW w:w="10036" w:type="dxa"/>
        <w:jc w:val="start"/>
        <w:tblInd w:w="0" w:type="dxa"/>
        <w:tblLayout w:type="fixed"/>
        <w:tblCellMar>
          <w:top w:w="28" w:type="dxa"/>
          <w:start w:w="28" w:type="dxa"/>
          <w:bottom w:w="28" w:type="dxa"/>
          <w:end w:w="28" w:type="dxa"/>
        </w:tblCellMar>
      </w:tblPr>
      <w:tblGrid>
        <w:gridCol w:w="1388"/>
        <w:gridCol w:w="3104"/>
        <w:gridCol w:w="3211"/>
        <w:gridCol w:w="2333"/>
      </w:tblGrid>
      <w:tr>
        <w:trPr>
          <w:tblHeader w:val="true"/>
        </w:trPr>
        <w:tc>
          <w:tcPr>
            <w:tcW w:w="1388" w:type="dxa"/>
            <w:tcBorders/>
            <w:vAlign w:val="center"/>
          </w:tcPr>
          <w:p>
            <w:pPr>
              <w:pStyle w:val="TableHeading"/>
              <w:suppressLineNumbers/>
              <w:shd w:fill="33594B" w:val="clear"/>
              <w:bidi w:val="0"/>
              <w:jc w:val="start"/>
              <w:rPr/>
            </w:pPr>
            <w:r>
              <w:rPr/>
              <w:t>Key result</w:t>
            </w:r>
          </w:p>
        </w:tc>
        <w:tc>
          <w:tcPr>
            <w:tcW w:w="3104" w:type="dxa"/>
            <w:tcBorders/>
            <w:vAlign w:val="center"/>
          </w:tcPr>
          <w:p>
            <w:pPr>
              <w:pStyle w:val="TableHeading"/>
              <w:suppressLineNumbers/>
              <w:shd w:fill="33594B" w:val="clear"/>
              <w:bidi w:val="0"/>
              <w:jc w:val="start"/>
              <w:rPr/>
            </w:pPr>
            <w:r>
              <w:rPr/>
              <w:t>Baseline / evidence</w:t>
            </w:r>
          </w:p>
        </w:tc>
        <w:tc>
          <w:tcPr>
            <w:tcW w:w="3211" w:type="dxa"/>
            <w:tcBorders/>
            <w:vAlign w:val="center"/>
          </w:tcPr>
          <w:p>
            <w:pPr>
              <w:pStyle w:val="TableHeading"/>
              <w:suppressLineNumbers/>
              <w:shd w:fill="33594B" w:val="clear"/>
              <w:bidi w:val="0"/>
              <w:jc w:val="start"/>
              <w:rPr/>
            </w:pPr>
            <w:r>
              <w:rPr/>
              <w:t>Target by July 2027</w:t>
            </w:r>
          </w:p>
        </w:tc>
        <w:tc>
          <w:tcPr>
            <w:tcW w:w="2333" w:type="dxa"/>
            <w:tcBorders/>
            <w:vAlign w:val="center"/>
          </w:tcPr>
          <w:p>
            <w:pPr>
              <w:pStyle w:val="TableHeading"/>
              <w:suppressLineNumbers/>
              <w:shd w:fill="33594B" w:val="clear"/>
              <w:bidi w:val="0"/>
              <w:jc w:val="start"/>
              <w:rPr/>
            </w:pPr>
            <w:r>
              <w:rPr/>
              <w:t>Owner / decision</w:t>
            </w:r>
          </w:p>
        </w:tc>
      </w:tr>
      <w:tr>
        <w:trPr/>
        <w:tc>
          <w:tcPr>
            <w:tcW w:w="1388" w:type="dxa"/>
            <w:tcBorders/>
            <w:vAlign w:val="center"/>
          </w:tcPr>
          <w:p>
            <w:pPr>
              <w:pStyle w:val="TableContents"/>
              <w:widowControl w:val="false"/>
              <w:suppressLineNumbers/>
              <w:bidi w:val="0"/>
              <w:jc w:val="start"/>
              <w:rPr/>
            </w:pPr>
            <w:r>
              <w:rPr/>
              <w:t>Curated answer coverage</w:t>
            </w:r>
          </w:p>
        </w:tc>
        <w:tc>
          <w:tcPr>
            <w:tcW w:w="3104" w:type="dxa"/>
            <w:tcBorders/>
            <w:vAlign w:val="center"/>
          </w:tcPr>
          <w:p>
            <w:pPr>
              <w:pStyle w:val="TableContents"/>
              <w:widowControl w:val="false"/>
              <w:suppressLineNumbers/>
              <w:bidi w:val="0"/>
              <w:jc w:val="start"/>
              <w:rPr/>
            </w:pPr>
            <w:r>
              <w:rPr/>
              <w:t>27 Jul onward: prototype/model pipeline supports curated Toolkit questions with sources, captions and speech</w:t>
            </w:r>
          </w:p>
        </w:tc>
        <w:tc>
          <w:tcPr>
            <w:tcW w:w="3211" w:type="dxa"/>
            <w:tcBorders/>
            <w:vAlign w:val="center"/>
          </w:tcPr>
          <w:p>
            <w:pPr>
              <w:pStyle w:val="TableContents"/>
              <w:widowControl w:val="false"/>
              <w:suppressLineNumbers/>
              <w:bidi w:val="0"/>
              <w:jc w:val="start"/>
              <w:rPr/>
            </w:pPr>
            <w:r>
              <w:rPr/>
              <w:t>100% of published answers trace to an approved source; monthly content review completed</w:t>
            </w:r>
          </w:p>
        </w:tc>
        <w:tc>
          <w:tcPr>
            <w:tcW w:w="2333" w:type="dxa"/>
            <w:tcBorders/>
            <w:vAlign w:val="center"/>
          </w:tcPr>
          <w:p>
            <w:pPr>
              <w:pStyle w:val="TableContents"/>
              <w:widowControl w:val="false"/>
              <w:suppressLineNumbers/>
              <w:bidi w:val="0"/>
              <w:jc w:val="start"/>
              <w:rPr/>
            </w:pPr>
            <w:r>
              <w:rPr/>
              <w:t>Academic + Communications</w:t>
            </w:r>
          </w:p>
        </w:tc>
      </w:tr>
      <w:tr>
        <w:trPr/>
        <w:tc>
          <w:tcPr>
            <w:tcW w:w="1388" w:type="dxa"/>
            <w:tcBorders/>
            <w:vAlign w:val="center"/>
          </w:tcPr>
          <w:p>
            <w:pPr>
              <w:pStyle w:val="TableContents"/>
              <w:widowControl w:val="false"/>
              <w:suppressLineNumbers/>
              <w:bidi w:val="0"/>
              <w:jc w:val="start"/>
              <w:rPr/>
            </w:pPr>
            <w:r>
              <w:rPr/>
              <w:t>Human review and escalation</w:t>
            </w:r>
          </w:p>
        </w:tc>
        <w:tc>
          <w:tcPr>
            <w:tcW w:w="3104" w:type="dxa"/>
            <w:tcBorders/>
            <w:vAlign w:val="center"/>
          </w:tcPr>
          <w:p>
            <w:pPr>
              <w:pStyle w:val="TableContents"/>
              <w:widowControl w:val="false"/>
              <w:suppressLineNumbers/>
              <w:bidi w:val="0"/>
              <w:jc w:val="start"/>
              <w:rPr/>
            </w:pPr>
            <w:r>
              <w:rPr/>
              <w:t>Prototype boundaries are documented; production authority is not granted</w:t>
            </w:r>
          </w:p>
        </w:tc>
        <w:tc>
          <w:tcPr>
            <w:tcW w:w="3211" w:type="dxa"/>
            <w:tcBorders/>
            <w:vAlign w:val="center"/>
          </w:tcPr>
          <w:p>
            <w:pPr>
              <w:pStyle w:val="TableContents"/>
              <w:widowControl w:val="false"/>
              <w:suppressLineNumbers/>
              <w:bidi w:val="0"/>
              <w:jc w:val="start"/>
              <w:rPr/>
            </w:pPr>
            <w:r>
              <w:rPr/>
              <w:t>All uncertain/high-impact questions show a clear human-support route; zero autonomous admission decisions</w:t>
            </w:r>
          </w:p>
        </w:tc>
        <w:tc>
          <w:tcPr>
            <w:tcW w:w="2333" w:type="dxa"/>
            <w:tcBorders/>
            <w:vAlign w:val="center"/>
          </w:tcPr>
          <w:p>
            <w:pPr>
              <w:pStyle w:val="TableContents"/>
              <w:widowControl w:val="false"/>
              <w:suppressLineNumbers/>
              <w:bidi w:val="0"/>
              <w:jc w:val="start"/>
              <w:rPr/>
            </w:pPr>
            <w:r>
              <w:rPr/>
              <w:t>Admissions lead; approve escalation wording</w:t>
            </w:r>
          </w:p>
        </w:tc>
      </w:tr>
      <w:tr>
        <w:trPr/>
        <w:tc>
          <w:tcPr>
            <w:tcW w:w="1388" w:type="dxa"/>
            <w:tcBorders/>
            <w:vAlign w:val="center"/>
          </w:tcPr>
          <w:p>
            <w:pPr>
              <w:pStyle w:val="TableContents"/>
              <w:widowControl w:val="false"/>
              <w:suppressLineNumbers/>
              <w:bidi w:val="0"/>
              <w:jc w:val="start"/>
              <w:rPr/>
            </w:pPr>
            <w:r>
              <w:rPr/>
              <w:t>Learner usability</w:t>
            </w:r>
          </w:p>
        </w:tc>
        <w:tc>
          <w:tcPr>
            <w:tcW w:w="3104" w:type="dxa"/>
            <w:tcBorders/>
            <w:vAlign w:val="center"/>
          </w:tcPr>
          <w:p>
            <w:pPr>
              <w:pStyle w:val="TableContents"/>
              <w:widowControl w:val="false"/>
              <w:suppressLineNumbers/>
              <w:bidi w:val="0"/>
              <w:jc w:val="start"/>
              <w:rPr/>
            </w:pPr>
            <w:r>
              <w:rPr/>
              <w:t>Text, speech, captions and fallbacks are demonstrated</w:t>
            </w:r>
          </w:p>
        </w:tc>
        <w:tc>
          <w:tcPr>
            <w:tcW w:w="3211" w:type="dxa"/>
            <w:tcBorders/>
            <w:vAlign w:val="center"/>
          </w:tcPr>
          <w:p>
            <w:pPr>
              <w:pStyle w:val="TableContents"/>
              <w:widowControl w:val="false"/>
              <w:suppressLineNumbers/>
              <w:bidi w:val="0"/>
              <w:jc w:val="start"/>
              <w:rPr/>
            </w:pPr>
            <w:r>
              <w:rPr/>
              <w:t>≥</w:t>
            </w:r>
            <w:r>
              <w:rPr/>
              <w:t>85% positive rating in a supervised learner review before any public pilot</w:t>
            </w:r>
          </w:p>
        </w:tc>
        <w:tc>
          <w:tcPr>
            <w:tcW w:w="2333" w:type="dxa"/>
            <w:tcBorders/>
            <w:vAlign w:val="center"/>
          </w:tcPr>
          <w:p>
            <w:pPr>
              <w:pStyle w:val="TableContents"/>
              <w:widowControl w:val="false"/>
              <w:suppressLineNumbers/>
              <w:bidi w:val="0"/>
              <w:jc w:val="start"/>
              <w:rPr/>
            </w:pPr>
            <w:r>
              <w:rPr/>
              <w:t>Academic lead</w:t>
            </w:r>
          </w:p>
        </w:tc>
      </w:tr>
    </w:tbl>
    <w:p>
      <w:pPr>
        <w:pStyle w:val="Heading2"/>
        <w:bidi w:val="0"/>
        <w:jc w:val="start"/>
        <w:rPr/>
      </w:pPr>
      <w:r>
        <w:rPr/>
        <w:t>Objective 5 — Make daily work, intake and decisions visible</w:t>
      </w:r>
    </w:p>
    <w:p>
      <w:pPr>
        <w:pStyle w:val="BodyText"/>
        <w:bidi w:val="0"/>
        <w:jc w:val="start"/>
        <w:rPr/>
      </w:pPr>
      <w:r>
        <w:rPr>
          <w:rStyle w:val="Strong"/>
        </w:rPr>
        <w:t>Outcome:</w:t>
      </w:r>
      <w:r>
        <w:rPr/>
        <w:t xml:space="preserve"> Managers can see what was done, what is verified, what is behind target and who owns the next action.</w:t>
      </w:r>
    </w:p>
    <w:tbl>
      <w:tblPr>
        <w:tblW w:w="10036" w:type="dxa"/>
        <w:jc w:val="start"/>
        <w:tblInd w:w="0" w:type="dxa"/>
        <w:tblLayout w:type="fixed"/>
        <w:tblCellMar>
          <w:top w:w="28" w:type="dxa"/>
          <w:start w:w="28" w:type="dxa"/>
          <w:bottom w:w="28" w:type="dxa"/>
          <w:end w:w="28" w:type="dxa"/>
        </w:tblCellMar>
      </w:tblPr>
      <w:tblGrid>
        <w:gridCol w:w="1678"/>
        <w:gridCol w:w="3051"/>
        <w:gridCol w:w="2862"/>
        <w:gridCol w:w="2445"/>
      </w:tblGrid>
      <w:tr>
        <w:trPr>
          <w:tblHeader w:val="true"/>
        </w:trPr>
        <w:tc>
          <w:tcPr>
            <w:tcW w:w="1678" w:type="dxa"/>
            <w:tcBorders/>
            <w:vAlign w:val="center"/>
          </w:tcPr>
          <w:p>
            <w:pPr>
              <w:pStyle w:val="TableHeading"/>
              <w:suppressLineNumbers/>
              <w:shd w:fill="33594B" w:val="clear"/>
              <w:bidi w:val="0"/>
              <w:jc w:val="start"/>
              <w:rPr/>
            </w:pPr>
            <w:r>
              <w:rPr/>
              <w:t>Key result</w:t>
            </w:r>
          </w:p>
        </w:tc>
        <w:tc>
          <w:tcPr>
            <w:tcW w:w="3051" w:type="dxa"/>
            <w:tcBorders/>
            <w:vAlign w:val="center"/>
          </w:tcPr>
          <w:p>
            <w:pPr>
              <w:pStyle w:val="TableHeading"/>
              <w:suppressLineNumbers/>
              <w:shd w:fill="33594B" w:val="clear"/>
              <w:bidi w:val="0"/>
              <w:jc w:val="start"/>
              <w:rPr/>
            </w:pPr>
            <w:r>
              <w:rPr/>
              <w:t>Baseline / evidence</w:t>
            </w:r>
          </w:p>
        </w:tc>
        <w:tc>
          <w:tcPr>
            <w:tcW w:w="2862" w:type="dxa"/>
            <w:tcBorders/>
            <w:vAlign w:val="center"/>
          </w:tcPr>
          <w:p>
            <w:pPr>
              <w:pStyle w:val="TableHeading"/>
              <w:suppressLineNumbers/>
              <w:shd w:fill="33594B" w:val="clear"/>
              <w:bidi w:val="0"/>
              <w:jc w:val="start"/>
              <w:rPr/>
            </w:pPr>
            <w:r>
              <w:rPr/>
              <w:t>Target by July 2027</w:t>
            </w:r>
          </w:p>
        </w:tc>
        <w:tc>
          <w:tcPr>
            <w:tcW w:w="2445" w:type="dxa"/>
            <w:tcBorders/>
            <w:vAlign w:val="center"/>
          </w:tcPr>
          <w:p>
            <w:pPr>
              <w:pStyle w:val="TableHeading"/>
              <w:suppressLineNumbers/>
              <w:shd w:fill="33594B" w:val="clear"/>
              <w:bidi w:val="0"/>
              <w:jc w:val="start"/>
              <w:rPr/>
            </w:pPr>
            <w:r>
              <w:rPr/>
              <w:t>Owner / decision</w:t>
            </w:r>
          </w:p>
        </w:tc>
      </w:tr>
      <w:tr>
        <w:trPr/>
        <w:tc>
          <w:tcPr>
            <w:tcW w:w="1678" w:type="dxa"/>
            <w:tcBorders/>
            <w:vAlign w:val="center"/>
          </w:tcPr>
          <w:p>
            <w:pPr>
              <w:pStyle w:val="TableContents"/>
              <w:widowControl w:val="false"/>
              <w:suppressLineNumbers/>
              <w:bidi w:val="0"/>
              <w:jc w:val="start"/>
              <w:rPr/>
            </w:pPr>
            <w:r>
              <w:rPr/>
              <w:t>Daily report discipline</w:t>
            </w:r>
          </w:p>
        </w:tc>
        <w:tc>
          <w:tcPr>
            <w:tcW w:w="3051" w:type="dxa"/>
            <w:tcBorders/>
            <w:vAlign w:val="center"/>
          </w:tcPr>
          <w:p>
            <w:pPr>
              <w:pStyle w:val="TableContents"/>
              <w:widowControl w:val="false"/>
              <w:suppressLineNumbers/>
              <w:bidi w:val="0"/>
              <w:jc w:val="start"/>
              <w:rPr/>
            </w:pPr>
            <w:r>
              <w:rPr/>
              <w:t>27 May onward: drafts, submissions, edit/audit controls, review states, dashboards and PDFs were established; filters/XLSX export were later implemented</w:t>
            </w:r>
          </w:p>
        </w:tc>
        <w:tc>
          <w:tcPr>
            <w:tcW w:w="2862" w:type="dxa"/>
            <w:tcBorders/>
            <w:vAlign w:val="center"/>
          </w:tcPr>
          <w:p>
            <w:pPr>
              <w:pStyle w:val="TableContents"/>
              <w:widowControl w:val="false"/>
              <w:suppressLineNumbers/>
              <w:bidi w:val="0"/>
              <w:jc w:val="start"/>
              <w:rPr/>
            </w:pPr>
            <w:r>
              <w:rPr/>
              <w:t>≥</w:t>
            </w:r>
            <w:r>
              <w:rPr/>
              <w:t>90% of expected staff reports submitted by the agreed deadline each month</w:t>
            </w:r>
          </w:p>
        </w:tc>
        <w:tc>
          <w:tcPr>
            <w:tcW w:w="2445" w:type="dxa"/>
            <w:tcBorders/>
            <w:vAlign w:val="center"/>
          </w:tcPr>
          <w:p>
            <w:pPr>
              <w:pStyle w:val="TableContents"/>
              <w:widowControl w:val="false"/>
              <w:suppressLineNumbers/>
              <w:bidi w:val="0"/>
              <w:jc w:val="start"/>
              <w:rPr/>
            </w:pPr>
            <w:r>
              <w:rPr/>
              <w:t>Department heads; approve deadline/denominator</w:t>
            </w:r>
          </w:p>
        </w:tc>
      </w:tr>
      <w:tr>
        <w:trPr/>
        <w:tc>
          <w:tcPr>
            <w:tcW w:w="1678" w:type="dxa"/>
            <w:tcBorders/>
            <w:vAlign w:val="center"/>
          </w:tcPr>
          <w:p>
            <w:pPr>
              <w:pStyle w:val="TableContents"/>
              <w:widowControl w:val="false"/>
              <w:suppressLineNumbers/>
              <w:bidi w:val="0"/>
              <w:jc w:val="start"/>
              <w:rPr/>
            </w:pPr>
            <w:r>
              <w:rPr/>
              <w:t>Review turnaround</w:t>
            </w:r>
          </w:p>
        </w:tc>
        <w:tc>
          <w:tcPr>
            <w:tcW w:w="3051" w:type="dxa"/>
            <w:tcBorders/>
            <w:vAlign w:val="center"/>
          </w:tcPr>
          <w:p>
            <w:pPr>
              <w:pStyle w:val="TableContents"/>
              <w:widowControl w:val="false"/>
              <w:suppressLineNumbers/>
              <w:bidi w:val="0"/>
              <w:jc w:val="start"/>
              <w:rPr/>
            </w:pPr>
            <w:r>
              <w:rPr/>
              <w:t>Submitted → Reviewed → Approved workflow exists</w:t>
            </w:r>
          </w:p>
        </w:tc>
        <w:tc>
          <w:tcPr>
            <w:tcW w:w="2862" w:type="dxa"/>
            <w:tcBorders/>
            <w:vAlign w:val="center"/>
          </w:tcPr>
          <w:p>
            <w:pPr>
              <w:pStyle w:val="TableContents"/>
              <w:widowControl w:val="false"/>
              <w:suppressLineNumbers/>
              <w:bidi w:val="0"/>
              <w:jc w:val="start"/>
              <w:rPr/>
            </w:pPr>
            <w:r>
              <w:rPr/>
              <w:t>≥</w:t>
            </w:r>
            <w:r>
              <w:rPr/>
              <w:t>95% of submitted reports reviewed within two working days</w:t>
            </w:r>
          </w:p>
        </w:tc>
        <w:tc>
          <w:tcPr>
            <w:tcW w:w="2445" w:type="dxa"/>
            <w:tcBorders/>
            <w:vAlign w:val="center"/>
          </w:tcPr>
          <w:p>
            <w:pPr>
              <w:pStyle w:val="TableContents"/>
              <w:widowControl w:val="false"/>
              <w:suppressLineNumbers/>
              <w:bidi w:val="0"/>
              <w:jc w:val="start"/>
              <w:rPr/>
            </w:pPr>
            <w:r>
              <w:rPr/>
              <w:t>Department heads</w:t>
            </w:r>
          </w:p>
        </w:tc>
      </w:tr>
      <w:tr>
        <w:trPr/>
        <w:tc>
          <w:tcPr>
            <w:tcW w:w="1678" w:type="dxa"/>
            <w:tcBorders/>
            <w:vAlign w:val="center"/>
          </w:tcPr>
          <w:p>
            <w:pPr>
              <w:pStyle w:val="TableContents"/>
              <w:widowControl w:val="false"/>
              <w:suppressLineNumbers/>
              <w:bidi w:val="0"/>
              <w:jc w:val="start"/>
              <w:rPr/>
            </w:pPr>
            <w:r>
              <w:rPr/>
              <w:t>Admissions and intake accountability</w:t>
            </w:r>
          </w:p>
        </w:tc>
        <w:tc>
          <w:tcPr>
            <w:tcW w:w="3051" w:type="dxa"/>
            <w:tcBorders/>
            <w:vAlign w:val="center"/>
          </w:tcPr>
          <w:p>
            <w:pPr>
              <w:pStyle w:val="TableContents"/>
              <w:widowControl w:val="false"/>
              <w:suppressLineNumbers/>
              <w:bidi w:val="0"/>
              <w:jc w:val="start"/>
              <w:rPr/>
            </w:pPr>
            <w:r>
              <w:rPr/>
              <w:t>Fee-paid verified enrolments now drive intake actuals; targets are implemented locally</w:t>
            </w:r>
          </w:p>
        </w:tc>
        <w:tc>
          <w:tcPr>
            <w:tcW w:w="2862" w:type="dxa"/>
            <w:tcBorders/>
            <w:vAlign w:val="center"/>
          </w:tcPr>
          <w:p>
            <w:pPr>
              <w:pStyle w:val="TableContents"/>
              <w:widowControl w:val="false"/>
              <w:suppressLineNumbers/>
              <w:bidi w:val="0"/>
              <w:jc w:val="start"/>
              <w:rPr/>
            </w:pPr>
            <w:r>
              <w:rPr/>
              <w:t>Monthly target review completed for every active intake officer; gaps have a recorded action</w:t>
            </w:r>
          </w:p>
        </w:tc>
        <w:tc>
          <w:tcPr>
            <w:tcW w:w="2445" w:type="dxa"/>
            <w:tcBorders/>
            <w:vAlign w:val="center"/>
          </w:tcPr>
          <w:p>
            <w:pPr>
              <w:pStyle w:val="TableContents"/>
              <w:widowControl w:val="false"/>
              <w:suppressLineNumbers/>
              <w:bidi w:val="0"/>
              <w:jc w:val="start"/>
              <w:rPr/>
            </w:pPr>
            <w:r>
              <w:rPr/>
              <w:t>Admissions + Finance; confirm fee-paid source</w:t>
            </w:r>
          </w:p>
        </w:tc>
      </w:tr>
      <w:tr>
        <w:trPr/>
        <w:tc>
          <w:tcPr>
            <w:tcW w:w="1678" w:type="dxa"/>
            <w:tcBorders/>
            <w:vAlign w:val="center"/>
          </w:tcPr>
          <w:p>
            <w:pPr>
              <w:pStyle w:val="TableContents"/>
              <w:widowControl w:val="false"/>
              <w:suppressLineNumbers/>
              <w:bidi w:val="0"/>
              <w:jc w:val="start"/>
              <w:rPr/>
            </w:pPr>
            <w:r>
              <w:rPr/>
              <w:t>Meeting action closure</w:t>
            </w:r>
          </w:p>
        </w:tc>
        <w:tc>
          <w:tcPr>
            <w:tcW w:w="3051" w:type="dxa"/>
            <w:tcBorders/>
            <w:vAlign w:val="center"/>
          </w:tcPr>
          <w:p>
            <w:pPr>
              <w:pStyle w:val="TableContents"/>
              <w:widowControl w:val="false"/>
              <w:suppressLineNumbers/>
              <w:bidi w:val="0"/>
              <w:jc w:val="start"/>
              <w:rPr/>
            </w:pPr>
            <w:r>
              <w:rPr/>
              <w:t>Minutes, owners, due dates and status history are implemented locally</w:t>
            </w:r>
          </w:p>
        </w:tc>
        <w:tc>
          <w:tcPr>
            <w:tcW w:w="2862" w:type="dxa"/>
            <w:tcBorders/>
            <w:vAlign w:val="center"/>
          </w:tcPr>
          <w:p>
            <w:pPr>
              <w:pStyle w:val="TableContents"/>
              <w:widowControl w:val="false"/>
              <w:suppressLineNumbers/>
              <w:bidi w:val="0"/>
              <w:jc w:val="start"/>
              <w:rPr/>
            </w:pPr>
            <w:r>
              <w:rPr/>
              <w:t>≥</w:t>
            </w:r>
            <w:r>
              <w:rPr/>
              <w:t>85% of actions closed by due date, with blocked items carrying an explanation</w:t>
            </w:r>
          </w:p>
        </w:tc>
        <w:tc>
          <w:tcPr>
            <w:tcW w:w="2445" w:type="dxa"/>
            <w:tcBorders/>
            <w:vAlign w:val="center"/>
          </w:tcPr>
          <w:p>
            <w:pPr>
              <w:pStyle w:val="TableContents"/>
              <w:widowControl w:val="false"/>
              <w:suppressLineNumbers/>
              <w:bidi w:val="0"/>
              <w:jc w:val="start"/>
              <w:rPr/>
            </w:pPr>
            <w:r>
              <w:rPr/>
              <w:t>Management; approve action policy</w:t>
            </w:r>
          </w:p>
        </w:tc>
      </w:tr>
      <w:tr>
        <w:trPr/>
        <w:tc>
          <w:tcPr>
            <w:tcW w:w="1678" w:type="dxa"/>
            <w:tcBorders/>
            <w:vAlign w:val="center"/>
          </w:tcPr>
          <w:p>
            <w:pPr>
              <w:pStyle w:val="TableContents"/>
              <w:widowControl w:val="false"/>
              <w:suppressLineNumbers/>
              <w:bidi w:val="0"/>
              <w:jc w:val="start"/>
              <w:rPr/>
            </w:pPr>
            <w:r>
              <w:rPr/>
              <w:t>Wingu continuity</w:t>
            </w:r>
          </w:p>
        </w:tc>
        <w:tc>
          <w:tcPr>
            <w:tcW w:w="3051" w:type="dxa"/>
            <w:tcBorders/>
            <w:vAlign w:val="center"/>
          </w:tcPr>
          <w:p>
            <w:pPr>
              <w:pStyle w:val="TableContents"/>
              <w:widowControl w:val="false"/>
              <w:suppressLineNumbers/>
              <w:bidi w:val="0"/>
              <w:jc w:val="start"/>
              <w:rPr/>
            </w:pPr>
            <w:r>
              <w:rPr/>
              <w:t>No API/SSO; approval-gated isolated browser workflow is documented</w:t>
            </w:r>
          </w:p>
        </w:tc>
        <w:tc>
          <w:tcPr>
            <w:tcW w:w="2862" w:type="dxa"/>
            <w:tcBorders/>
            <w:vAlign w:val="center"/>
          </w:tcPr>
          <w:p>
            <w:pPr>
              <w:pStyle w:val="TableContents"/>
              <w:widowControl w:val="false"/>
              <w:suppressLineNumbers/>
              <w:bidi w:val="0"/>
              <w:jc w:val="start"/>
              <w:rPr/>
            </w:pPr>
            <w:r>
              <w:rPr/>
              <w:t>100% of dispatched rows use Wingu-presented project values, approved attendance input and reload verification</w:t>
            </w:r>
          </w:p>
        </w:tc>
        <w:tc>
          <w:tcPr>
            <w:tcW w:w="2445" w:type="dxa"/>
            <w:tcBorders/>
            <w:vAlign w:val="center"/>
          </w:tcPr>
          <w:p>
            <w:pPr>
              <w:pStyle w:val="TableContents"/>
              <w:widowControl w:val="false"/>
              <w:suppressLineNumbers/>
              <w:bidi w:val="0"/>
              <w:jc w:val="start"/>
              <w:rPr/>
            </w:pPr>
            <w:r>
              <w:rPr/>
              <w:t>ICT + employee; provide attendance-sheet format and rejected-row owner</w:t>
            </w:r>
          </w:p>
        </w:tc>
      </w:tr>
    </w:tbl>
    <w:p>
      <w:pPr>
        <w:pStyle w:val="Heading2"/>
        <w:bidi w:val="0"/>
        <w:jc w:val="start"/>
        <w:rPr/>
      </w:pPr>
      <w:r>
        <w:rPr/>
        <w:t>Objective 6 — Protect institutional data and keep services recoverable</w:t>
      </w:r>
    </w:p>
    <w:p>
      <w:pPr>
        <w:pStyle w:val="BodyText"/>
        <w:bidi w:val="0"/>
        <w:jc w:val="start"/>
        <w:rPr/>
      </w:pPr>
      <w:r>
        <w:rPr>
          <w:rStyle w:val="Strong"/>
        </w:rPr>
        <w:t>Outcome:</w:t>
      </w:r>
      <w:r>
        <w:rPr/>
        <w:t xml:space="preserve"> Security incidents are contained quickly, sensitive information is not exposed through convenience shortcuts, and the team can restore service.</w:t>
      </w:r>
    </w:p>
    <w:tbl>
      <w:tblPr>
        <w:tblW w:w="10036" w:type="dxa"/>
        <w:jc w:val="start"/>
        <w:tblInd w:w="0" w:type="dxa"/>
        <w:tblLayout w:type="fixed"/>
        <w:tblCellMar>
          <w:top w:w="28" w:type="dxa"/>
          <w:start w:w="28" w:type="dxa"/>
          <w:bottom w:w="28" w:type="dxa"/>
          <w:end w:w="28" w:type="dxa"/>
        </w:tblCellMar>
      </w:tblPr>
      <w:tblGrid>
        <w:gridCol w:w="1312"/>
        <w:gridCol w:w="3797"/>
        <w:gridCol w:w="2826"/>
        <w:gridCol w:w="2101"/>
      </w:tblGrid>
      <w:tr>
        <w:trPr>
          <w:tblHeader w:val="true"/>
        </w:trPr>
        <w:tc>
          <w:tcPr>
            <w:tcW w:w="1312" w:type="dxa"/>
            <w:tcBorders/>
            <w:vAlign w:val="center"/>
          </w:tcPr>
          <w:p>
            <w:pPr>
              <w:pStyle w:val="TableHeading"/>
              <w:suppressLineNumbers/>
              <w:shd w:fill="33594B" w:val="clear"/>
              <w:bidi w:val="0"/>
              <w:jc w:val="start"/>
              <w:rPr/>
            </w:pPr>
            <w:r>
              <w:rPr/>
              <w:t>Key result</w:t>
            </w:r>
          </w:p>
        </w:tc>
        <w:tc>
          <w:tcPr>
            <w:tcW w:w="3797" w:type="dxa"/>
            <w:tcBorders/>
            <w:vAlign w:val="center"/>
          </w:tcPr>
          <w:p>
            <w:pPr>
              <w:pStyle w:val="TableHeading"/>
              <w:suppressLineNumbers/>
              <w:shd w:fill="33594B" w:val="clear"/>
              <w:bidi w:val="0"/>
              <w:jc w:val="start"/>
              <w:rPr/>
            </w:pPr>
            <w:r>
              <w:rPr/>
              <w:t>Baseline / evidence</w:t>
            </w:r>
          </w:p>
        </w:tc>
        <w:tc>
          <w:tcPr>
            <w:tcW w:w="2826" w:type="dxa"/>
            <w:tcBorders/>
            <w:vAlign w:val="center"/>
          </w:tcPr>
          <w:p>
            <w:pPr>
              <w:pStyle w:val="TableHeading"/>
              <w:suppressLineNumbers/>
              <w:shd w:fill="33594B" w:val="clear"/>
              <w:bidi w:val="0"/>
              <w:jc w:val="start"/>
              <w:rPr/>
            </w:pPr>
            <w:r>
              <w:rPr/>
              <w:t>Target by July 2027</w:t>
            </w:r>
          </w:p>
        </w:tc>
        <w:tc>
          <w:tcPr>
            <w:tcW w:w="2101" w:type="dxa"/>
            <w:tcBorders/>
            <w:vAlign w:val="center"/>
          </w:tcPr>
          <w:p>
            <w:pPr>
              <w:pStyle w:val="TableHeading"/>
              <w:suppressLineNumbers/>
              <w:shd w:fill="33594B" w:val="clear"/>
              <w:bidi w:val="0"/>
              <w:jc w:val="start"/>
              <w:rPr/>
            </w:pPr>
            <w:r>
              <w:rPr/>
              <w:t>Owner / decision</w:t>
            </w:r>
          </w:p>
        </w:tc>
      </w:tr>
      <w:tr>
        <w:trPr/>
        <w:tc>
          <w:tcPr>
            <w:tcW w:w="1312" w:type="dxa"/>
            <w:tcBorders/>
            <w:vAlign w:val="center"/>
          </w:tcPr>
          <w:p>
            <w:pPr>
              <w:pStyle w:val="TableContents"/>
              <w:widowControl w:val="false"/>
              <w:suppressLineNumbers/>
              <w:bidi w:val="0"/>
              <w:jc w:val="start"/>
              <w:rPr/>
            </w:pPr>
            <w:r>
              <w:rPr/>
              <w:t>High-risk exposure</w:t>
            </w:r>
          </w:p>
        </w:tc>
        <w:tc>
          <w:tcPr>
            <w:tcW w:w="3797" w:type="dxa"/>
            <w:tcBorders/>
            <w:vAlign w:val="center"/>
          </w:tcPr>
          <w:p>
            <w:pPr>
              <w:pStyle w:val="TableContents"/>
              <w:widowControl w:val="false"/>
              <w:suppressLineNumbers/>
              <w:bidi w:val="0"/>
              <w:jc w:val="start"/>
              <w:rPr/>
            </w:pPr>
            <w:r>
              <w:rPr/>
              <w:t>10 Jun onward: sensitive-file blocking and deployment hardening preceded the contained WordPress incident; normal accounts were preserved and scans reported zero infected files</w:t>
            </w:r>
          </w:p>
        </w:tc>
        <w:tc>
          <w:tcPr>
            <w:tcW w:w="2826" w:type="dxa"/>
            <w:tcBorders/>
            <w:vAlign w:val="center"/>
          </w:tcPr>
          <w:p>
            <w:pPr>
              <w:pStyle w:val="TableContents"/>
              <w:widowControl w:val="false"/>
              <w:suppressLineNumbers/>
              <w:bidi w:val="0"/>
              <w:jc w:val="start"/>
              <w:rPr/>
            </w:pPr>
            <w:r>
              <w:rPr/>
              <w:t>Zero unresolved critical/high security findings older than 14 days</w:t>
            </w:r>
          </w:p>
        </w:tc>
        <w:tc>
          <w:tcPr>
            <w:tcW w:w="2101" w:type="dxa"/>
            <w:tcBorders/>
            <w:vAlign w:val="center"/>
          </w:tcPr>
          <w:p>
            <w:pPr>
              <w:pStyle w:val="TableContents"/>
              <w:widowControl w:val="false"/>
              <w:suppressLineNumbers/>
              <w:bidi w:val="0"/>
              <w:jc w:val="start"/>
              <w:rPr/>
            </w:pPr>
            <w:r>
              <w:rPr/>
              <w:t>ICT; approve vulnerability reporting channel</w:t>
            </w:r>
          </w:p>
        </w:tc>
      </w:tr>
      <w:tr>
        <w:trPr/>
        <w:tc>
          <w:tcPr>
            <w:tcW w:w="1312" w:type="dxa"/>
            <w:tcBorders/>
            <w:vAlign w:val="center"/>
          </w:tcPr>
          <w:p>
            <w:pPr>
              <w:pStyle w:val="TableContents"/>
              <w:widowControl w:val="false"/>
              <w:suppressLineNumbers/>
              <w:bidi w:val="0"/>
              <w:jc w:val="start"/>
              <w:rPr/>
            </w:pPr>
            <w:r>
              <w:rPr/>
              <w:t>Secret handling</w:t>
            </w:r>
          </w:p>
        </w:tc>
        <w:tc>
          <w:tcPr>
            <w:tcW w:w="3797" w:type="dxa"/>
            <w:tcBorders/>
            <w:vAlign w:val="center"/>
          </w:tcPr>
          <w:p>
            <w:pPr>
              <w:pStyle w:val="TableContents"/>
              <w:widowControl w:val="false"/>
              <w:suppressLineNumbers/>
              <w:bidi w:val="0"/>
              <w:jc w:val="start"/>
              <w:rPr/>
            </w:pPr>
            <w:r>
              <w:rPr/>
              <w:t>Applicant encryption keyring and admin vault procedures exist; no secrets in committed docs</w:t>
            </w:r>
          </w:p>
        </w:tc>
        <w:tc>
          <w:tcPr>
            <w:tcW w:w="2826" w:type="dxa"/>
            <w:tcBorders/>
            <w:vAlign w:val="center"/>
          </w:tcPr>
          <w:p>
            <w:pPr>
              <w:pStyle w:val="TableContents"/>
              <w:widowControl w:val="false"/>
              <w:suppressLineNumbers/>
              <w:bidi w:val="0"/>
              <w:jc w:val="start"/>
              <w:rPr/>
            </w:pPr>
            <w:r>
              <w:rPr/>
              <w:t>100% of production secrets held outside Git and reviewed quarterly</w:t>
            </w:r>
          </w:p>
        </w:tc>
        <w:tc>
          <w:tcPr>
            <w:tcW w:w="2101" w:type="dxa"/>
            <w:tcBorders/>
            <w:vAlign w:val="center"/>
          </w:tcPr>
          <w:p>
            <w:pPr>
              <w:pStyle w:val="TableContents"/>
              <w:widowControl w:val="false"/>
              <w:suppressLineNumbers/>
              <w:bidi w:val="0"/>
              <w:jc w:val="start"/>
              <w:rPr/>
            </w:pPr>
            <w:r>
              <w:rPr/>
              <w:t>ICT + Administration</w:t>
            </w:r>
          </w:p>
        </w:tc>
      </w:tr>
      <w:tr>
        <w:trPr/>
        <w:tc>
          <w:tcPr>
            <w:tcW w:w="1312" w:type="dxa"/>
            <w:tcBorders/>
            <w:vAlign w:val="center"/>
          </w:tcPr>
          <w:p>
            <w:pPr>
              <w:pStyle w:val="TableContents"/>
              <w:widowControl w:val="false"/>
              <w:suppressLineNumbers/>
              <w:bidi w:val="0"/>
              <w:jc w:val="start"/>
              <w:rPr/>
            </w:pPr>
            <w:r>
              <w:rPr/>
              <w:t>Recovery readiness</w:t>
            </w:r>
          </w:p>
        </w:tc>
        <w:tc>
          <w:tcPr>
            <w:tcW w:w="3797" w:type="dxa"/>
            <w:tcBorders/>
            <w:vAlign w:val="center"/>
          </w:tcPr>
          <w:p>
            <w:pPr>
              <w:pStyle w:val="TableContents"/>
              <w:widowControl w:val="false"/>
              <w:suppressLineNumbers/>
              <w:bidi w:val="0"/>
              <w:jc w:val="start"/>
              <w:rPr/>
            </w:pPr>
            <w:r>
              <w:rPr/>
              <w:t>Deployment and backup procedures are documented; restore ownership remains open in some systems</w:t>
            </w:r>
          </w:p>
        </w:tc>
        <w:tc>
          <w:tcPr>
            <w:tcW w:w="2826" w:type="dxa"/>
            <w:tcBorders/>
            <w:vAlign w:val="center"/>
          </w:tcPr>
          <w:p>
            <w:pPr>
              <w:pStyle w:val="TableContents"/>
              <w:widowControl w:val="false"/>
              <w:suppressLineNumbers/>
              <w:bidi w:val="0"/>
              <w:jc w:val="start"/>
              <w:rPr/>
            </w:pPr>
            <w:r>
              <w:rPr/>
              <w:t>Quarterly restore exercise for website, Reception and Report System with recorded result</w:t>
            </w:r>
          </w:p>
        </w:tc>
        <w:tc>
          <w:tcPr>
            <w:tcW w:w="2101" w:type="dxa"/>
            <w:tcBorders/>
            <w:vAlign w:val="center"/>
          </w:tcPr>
          <w:p>
            <w:pPr>
              <w:pStyle w:val="TableContents"/>
              <w:widowControl w:val="false"/>
              <w:suppressLineNumbers/>
              <w:bidi w:val="0"/>
              <w:jc w:val="start"/>
              <w:rPr/>
            </w:pPr>
            <w:r>
              <w:rPr/>
              <w:t>ICT; name restore owner and backup location</w:t>
            </w:r>
          </w:p>
        </w:tc>
      </w:tr>
      <w:tr>
        <w:trPr/>
        <w:tc>
          <w:tcPr>
            <w:tcW w:w="1312" w:type="dxa"/>
            <w:tcBorders/>
            <w:vAlign w:val="center"/>
          </w:tcPr>
          <w:p>
            <w:pPr>
              <w:pStyle w:val="TableContents"/>
              <w:widowControl w:val="false"/>
              <w:suppressLineNumbers/>
              <w:bidi w:val="0"/>
              <w:jc w:val="start"/>
              <w:rPr/>
            </w:pPr>
            <w:r>
              <w:rPr/>
              <w:t>Access governance</w:t>
            </w:r>
          </w:p>
        </w:tc>
        <w:tc>
          <w:tcPr>
            <w:tcW w:w="3797" w:type="dxa"/>
            <w:tcBorders/>
            <w:vAlign w:val="center"/>
          </w:tcPr>
          <w:p>
            <w:pPr>
              <w:pStyle w:val="TableContents"/>
              <w:widowControl w:val="false"/>
              <w:suppressLineNumbers/>
              <w:bidi w:val="0"/>
              <w:jc w:val="start"/>
              <w:rPr/>
            </w:pPr>
            <w:r>
              <w:rPr/>
              <w:t>Role-scoped campus/report/reception controls exist</w:t>
            </w:r>
          </w:p>
        </w:tc>
        <w:tc>
          <w:tcPr>
            <w:tcW w:w="2826" w:type="dxa"/>
            <w:tcBorders/>
            <w:vAlign w:val="center"/>
          </w:tcPr>
          <w:p>
            <w:pPr>
              <w:pStyle w:val="TableContents"/>
              <w:widowControl w:val="false"/>
              <w:suppressLineNumbers/>
              <w:bidi w:val="0"/>
              <w:jc w:val="start"/>
              <w:rPr/>
            </w:pPr>
            <w:r>
              <w:rPr/>
              <w:t>Quarterly review of privileged accounts, staff paths and integrations; inactive access removed within two working days</w:t>
            </w:r>
          </w:p>
        </w:tc>
        <w:tc>
          <w:tcPr>
            <w:tcW w:w="2101" w:type="dxa"/>
            <w:tcBorders/>
            <w:vAlign w:val="center"/>
          </w:tcPr>
          <w:p>
            <w:pPr>
              <w:pStyle w:val="TableContents"/>
              <w:widowControl w:val="false"/>
              <w:suppressLineNumbers/>
              <w:bidi w:val="0"/>
              <w:jc w:val="start"/>
              <w:rPr/>
            </w:pPr>
            <w:r>
              <w:rPr/>
              <w:t>Administration + ICT</w:t>
            </w:r>
          </w:p>
        </w:tc>
      </w:tr>
    </w:tbl>
    <w:p>
      <w:pPr>
        <w:pStyle w:val="Heading2"/>
        <w:bidi w:val="0"/>
        <w:jc w:val="start"/>
        <w:rPr/>
      </w:pPr>
      <w:r>
        <w:rPr/>
        <w:t>Objective 7 — Use the Toolkit brand and poster library consistently</w:t>
      </w:r>
    </w:p>
    <w:p>
      <w:pPr>
        <w:pStyle w:val="BodyText"/>
        <w:bidi w:val="0"/>
        <w:jc w:val="start"/>
        <w:rPr/>
      </w:pPr>
      <w:r>
        <w:rPr>
          <w:rStyle w:val="Strong"/>
        </w:rPr>
        <w:t>Outcome:</w:t>
      </w:r>
      <w:r>
        <w:rPr/>
        <w:t xml:space="preserve"> Public, print and learning communications look like one institution and approved campaign work can be reused without losing editable sources.</w:t>
      </w:r>
    </w:p>
    <w:tbl>
      <w:tblPr>
        <w:tblW w:w="10036" w:type="dxa"/>
        <w:jc w:val="start"/>
        <w:tblInd w:w="0" w:type="dxa"/>
        <w:tblLayout w:type="fixed"/>
        <w:tblCellMar>
          <w:top w:w="28" w:type="dxa"/>
          <w:start w:w="28" w:type="dxa"/>
          <w:bottom w:w="28" w:type="dxa"/>
          <w:end w:w="28" w:type="dxa"/>
        </w:tblCellMar>
      </w:tblPr>
      <w:tblGrid>
        <w:gridCol w:w="1614"/>
        <w:gridCol w:w="2680"/>
        <w:gridCol w:w="3225"/>
        <w:gridCol w:w="2517"/>
      </w:tblGrid>
      <w:tr>
        <w:trPr>
          <w:tblHeader w:val="true"/>
        </w:trPr>
        <w:tc>
          <w:tcPr>
            <w:tcW w:w="1614" w:type="dxa"/>
            <w:tcBorders/>
            <w:vAlign w:val="center"/>
          </w:tcPr>
          <w:p>
            <w:pPr>
              <w:pStyle w:val="TableHeading"/>
              <w:suppressLineNumbers/>
              <w:shd w:fill="33594B" w:val="clear"/>
              <w:bidi w:val="0"/>
              <w:jc w:val="start"/>
              <w:rPr/>
            </w:pPr>
            <w:r>
              <w:rPr/>
              <w:t>Key result</w:t>
            </w:r>
          </w:p>
        </w:tc>
        <w:tc>
          <w:tcPr>
            <w:tcW w:w="2680" w:type="dxa"/>
            <w:tcBorders/>
            <w:vAlign w:val="center"/>
          </w:tcPr>
          <w:p>
            <w:pPr>
              <w:pStyle w:val="TableHeading"/>
              <w:suppressLineNumbers/>
              <w:shd w:fill="33594B" w:val="clear"/>
              <w:bidi w:val="0"/>
              <w:jc w:val="start"/>
              <w:rPr/>
            </w:pPr>
            <w:r>
              <w:rPr/>
              <w:t>Baseline / evidence</w:t>
            </w:r>
          </w:p>
        </w:tc>
        <w:tc>
          <w:tcPr>
            <w:tcW w:w="3225" w:type="dxa"/>
            <w:tcBorders/>
            <w:vAlign w:val="center"/>
          </w:tcPr>
          <w:p>
            <w:pPr>
              <w:pStyle w:val="TableHeading"/>
              <w:suppressLineNumbers/>
              <w:shd w:fill="33594B" w:val="clear"/>
              <w:bidi w:val="0"/>
              <w:jc w:val="start"/>
              <w:rPr/>
            </w:pPr>
            <w:r>
              <w:rPr/>
              <w:t>Target by July 2027</w:t>
            </w:r>
          </w:p>
        </w:tc>
        <w:tc>
          <w:tcPr>
            <w:tcW w:w="2517" w:type="dxa"/>
            <w:tcBorders/>
            <w:vAlign w:val="center"/>
          </w:tcPr>
          <w:p>
            <w:pPr>
              <w:pStyle w:val="TableHeading"/>
              <w:suppressLineNumbers/>
              <w:shd w:fill="33594B" w:val="clear"/>
              <w:bidi w:val="0"/>
              <w:jc w:val="start"/>
              <w:rPr/>
            </w:pPr>
            <w:r>
              <w:rPr/>
              <w:t>Owner / decision</w:t>
            </w:r>
          </w:p>
        </w:tc>
      </w:tr>
      <w:tr>
        <w:trPr/>
        <w:tc>
          <w:tcPr>
            <w:tcW w:w="1614" w:type="dxa"/>
            <w:tcBorders/>
            <w:vAlign w:val="center"/>
          </w:tcPr>
          <w:p>
            <w:pPr>
              <w:pStyle w:val="TableContents"/>
              <w:widowControl w:val="false"/>
              <w:suppressLineNumbers/>
              <w:bidi w:val="0"/>
              <w:jc w:val="start"/>
              <w:rPr/>
            </w:pPr>
            <w:r>
              <w:rPr/>
              <w:t>Asset organisation</w:t>
            </w:r>
          </w:p>
        </w:tc>
        <w:tc>
          <w:tcPr>
            <w:tcW w:w="2680" w:type="dxa"/>
            <w:tcBorders/>
            <w:vAlign w:val="center"/>
          </w:tcPr>
          <w:p>
            <w:pPr>
              <w:pStyle w:val="TableContents"/>
              <w:widowControl w:val="false"/>
              <w:suppressLineNumbers/>
              <w:bidi w:val="0"/>
              <w:jc w:val="start"/>
              <w:rPr/>
            </w:pPr>
            <w:r>
              <w:rPr>
                <w:rStyle w:val="SourceText"/>
              </w:rPr>
              <w:t>imgs/</w:t>
            </w:r>
            <w:r>
              <w:rPr/>
              <w:t xml:space="preserve"> contains 172 files (~622 MB), including 128 poster files and editable XCF sources</w:t>
            </w:r>
          </w:p>
        </w:tc>
        <w:tc>
          <w:tcPr>
            <w:tcW w:w="3225" w:type="dxa"/>
            <w:tcBorders/>
            <w:vAlign w:val="center"/>
          </w:tcPr>
          <w:p>
            <w:pPr>
              <w:pStyle w:val="TableContents"/>
              <w:widowControl w:val="false"/>
              <w:suppressLineNumbers/>
              <w:bidi w:val="0"/>
              <w:jc w:val="start"/>
              <w:rPr/>
            </w:pPr>
            <w:r>
              <w:rPr/>
              <w:t>100% of approved campaign assets indexed with purpose, status and source format</w:t>
            </w:r>
          </w:p>
        </w:tc>
        <w:tc>
          <w:tcPr>
            <w:tcW w:w="2517" w:type="dxa"/>
            <w:tcBorders/>
            <w:vAlign w:val="center"/>
          </w:tcPr>
          <w:p>
            <w:pPr>
              <w:pStyle w:val="TableContents"/>
              <w:widowControl w:val="false"/>
              <w:suppressLineNumbers/>
              <w:bidi w:val="0"/>
              <w:jc w:val="start"/>
              <w:rPr/>
            </w:pPr>
            <w:r>
              <w:rPr/>
              <w:t>Communications; approve asset naming/index owner</w:t>
            </w:r>
          </w:p>
        </w:tc>
      </w:tr>
      <w:tr>
        <w:trPr/>
        <w:tc>
          <w:tcPr>
            <w:tcW w:w="1614" w:type="dxa"/>
            <w:tcBorders/>
            <w:vAlign w:val="center"/>
          </w:tcPr>
          <w:p>
            <w:pPr>
              <w:pStyle w:val="TableContents"/>
              <w:widowControl w:val="false"/>
              <w:suppressLineNumbers/>
              <w:bidi w:val="0"/>
              <w:jc w:val="start"/>
              <w:rPr/>
            </w:pPr>
            <w:r>
              <w:rPr/>
              <w:t>Brand compliance</w:t>
            </w:r>
          </w:p>
        </w:tc>
        <w:tc>
          <w:tcPr>
            <w:tcW w:w="2680" w:type="dxa"/>
            <w:tcBorders/>
            <w:vAlign w:val="center"/>
          </w:tcPr>
          <w:p>
            <w:pPr>
              <w:pStyle w:val="TableContents"/>
              <w:widowControl w:val="false"/>
              <w:suppressLineNumbers/>
              <w:bidi w:val="0"/>
              <w:jc w:val="start"/>
              <w:rPr/>
            </w:pPr>
            <w:r>
              <w:rPr/>
              <w:t>Brand registry defines orange, olive, teal, Tahoma and approved logo/photo paths</w:t>
            </w:r>
          </w:p>
        </w:tc>
        <w:tc>
          <w:tcPr>
            <w:tcW w:w="3225" w:type="dxa"/>
            <w:tcBorders/>
            <w:vAlign w:val="center"/>
          </w:tcPr>
          <w:p>
            <w:pPr>
              <w:pStyle w:val="TableContents"/>
              <w:widowControl w:val="false"/>
              <w:suppressLineNumbers/>
              <w:bidi w:val="0"/>
              <w:jc w:val="start"/>
              <w:rPr/>
            </w:pPr>
            <w:r>
              <w:rPr/>
              <w:t>≥</w:t>
            </w:r>
            <w:r>
              <w:rPr/>
              <w:t>95% of sampled public/print outputs pass the brand checklist before release</w:t>
            </w:r>
          </w:p>
        </w:tc>
        <w:tc>
          <w:tcPr>
            <w:tcW w:w="2517" w:type="dxa"/>
            <w:tcBorders/>
            <w:vAlign w:val="center"/>
          </w:tcPr>
          <w:p>
            <w:pPr>
              <w:pStyle w:val="TableContents"/>
              <w:widowControl w:val="false"/>
              <w:suppressLineNumbers/>
              <w:bidi w:val="0"/>
              <w:jc w:val="start"/>
              <w:rPr/>
            </w:pPr>
            <w:r>
              <w:rPr/>
              <w:t>Communications</w:t>
            </w:r>
          </w:p>
        </w:tc>
      </w:tr>
      <w:tr>
        <w:trPr/>
        <w:tc>
          <w:tcPr>
            <w:tcW w:w="1614" w:type="dxa"/>
            <w:tcBorders/>
            <w:vAlign w:val="center"/>
          </w:tcPr>
          <w:p>
            <w:pPr>
              <w:pStyle w:val="TableContents"/>
              <w:widowControl w:val="false"/>
              <w:suppressLineNumbers/>
              <w:bidi w:val="0"/>
              <w:jc w:val="start"/>
              <w:rPr/>
            </w:pPr>
            <w:r>
              <w:rPr/>
              <w:t>Reuse and release readiness</w:t>
            </w:r>
          </w:p>
        </w:tc>
        <w:tc>
          <w:tcPr>
            <w:tcW w:w="2680" w:type="dxa"/>
            <w:tcBorders/>
            <w:vAlign w:val="center"/>
          </w:tcPr>
          <w:p>
            <w:pPr>
              <w:pStyle w:val="TableContents"/>
              <w:widowControl w:val="false"/>
              <w:suppressLineNumbers/>
              <w:bidi w:val="0"/>
              <w:jc w:val="start"/>
              <w:rPr/>
            </w:pPr>
            <w:r>
              <w:rPr/>
              <w:t>Catalogue, prospectus, posters, testimonials and campaign materials are retained</w:t>
            </w:r>
          </w:p>
        </w:tc>
        <w:tc>
          <w:tcPr>
            <w:tcW w:w="3225" w:type="dxa"/>
            <w:tcBorders/>
            <w:vAlign w:val="center"/>
          </w:tcPr>
          <w:p>
            <w:pPr>
              <w:pStyle w:val="TableContents"/>
              <w:widowControl w:val="false"/>
              <w:suppressLineNumbers/>
              <w:bidi w:val="0"/>
              <w:jc w:val="start"/>
              <w:rPr/>
            </w:pPr>
            <w:r>
              <w:rPr/>
              <w:t>Every campaign release includes web, print/social and editable-source handoff where applicable</w:t>
            </w:r>
          </w:p>
        </w:tc>
        <w:tc>
          <w:tcPr>
            <w:tcW w:w="2517" w:type="dxa"/>
            <w:tcBorders/>
            <w:vAlign w:val="center"/>
          </w:tcPr>
          <w:p>
            <w:pPr>
              <w:pStyle w:val="TableContents"/>
              <w:widowControl w:val="false"/>
              <w:suppressLineNumbers/>
              <w:bidi w:val="0"/>
              <w:jc w:val="start"/>
              <w:rPr/>
            </w:pPr>
            <w:r>
              <w:rPr/>
              <w:t>Communications + ICT</w:t>
            </w:r>
          </w:p>
        </w:tc>
      </w:tr>
    </w:tbl>
    <w:p>
      <w:pPr>
        <w:pStyle w:val="Heading2"/>
        <w:bidi w:val="0"/>
        <w:jc w:val="start"/>
        <w:rPr/>
      </w:pPr>
      <w:r>
        <w:rPr/>
        <w:t>Objective 8 — Operate a calm, auditable delivery process</w:t>
      </w:r>
    </w:p>
    <w:p>
      <w:pPr>
        <w:pStyle w:val="BodyText"/>
        <w:bidi w:val="0"/>
        <w:jc w:val="start"/>
        <w:rPr/>
      </w:pPr>
      <w:r>
        <w:rPr>
          <w:rStyle w:val="Strong"/>
        </w:rPr>
        <w:t>Outcome:</w:t>
      </w:r>
      <w:r>
        <w:rPr/>
        <w:t xml:space="preserve"> Changes reach users through repeatable checks, with clear ownership and no disruptive browser-click deployment.</w:t>
      </w:r>
    </w:p>
    <w:tbl>
      <w:tblPr>
        <w:tblW w:w="10036" w:type="dxa"/>
        <w:jc w:val="start"/>
        <w:tblInd w:w="0" w:type="dxa"/>
        <w:tblLayout w:type="fixed"/>
        <w:tblCellMar>
          <w:top w:w="28" w:type="dxa"/>
          <w:start w:w="28" w:type="dxa"/>
          <w:bottom w:w="28" w:type="dxa"/>
          <w:end w:w="28" w:type="dxa"/>
        </w:tblCellMar>
      </w:tblPr>
      <w:tblGrid>
        <w:gridCol w:w="1827"/>
        <w:gridCol w:w="3483"/>
        <w:gridCol w:w="3179"/>
        <w:gridCol w:w="1547"/>
      </w:tblGrid>
      <w:tr>
        <w:trPr>
          <w:tblHeader w:val="true"/>
        </w:trPr>
        <w:tc>
          <w:tcPr>
            <w:tcW w:w="1827" w:type="dxa"/>
            <w:tcBorders/>
            <w:vAlign w:val="center"/>
          </w:tcPr>
          <w:p>
            <w:pPr>
              <w:pStyle w:val="TableHeading"/>
              <w:suppressLineNumbers/>
              <w:shd w:fill="33594B" w:val="clear"/>
              <w:bidi w:val="0"/>
              <w:jc w:val="start"/>
              <w:rPr/>
            </w:pPr>
            <w:r>
              <w:rPr/>
              <w:t>Key result</w:t>
            </w:r>
          </w:p>
        </w:tc>
        <w:tc>
          <w:tcPr>
            <w:tcW w:w="3483" w:type="dxa"/>
            <w:tcBorders/>
            <w:vAlign w:val="center"/>
          </w:tcPr>
          <w:p>
            <w:pPr>
              <w:pStyle w:val="TableHeading"/>
              <w:suppressLineNumbers/>
              <w:shd w:fill="33594B" w:val="clear"/>
              <w:bidi w:val="0"/>
              <w:jc w:val="start"/>
              <w:rPr/>
            </w:pPr>
            <w:r>
              <w:rPr/>
              <w:t>Baseline / evidence</w:t>
            </w:r>
          </w:p>
        </w:tc>
        <w:tc>
          <w:tcPr>
            <w:tcW w:w="3179" w:type="dxa"/>
            <w:tcBorders/>
            <w:vAlign w:val="center"/>
          </w:tcPr>
          <w:p>
            <w:pPr>
              <w:pStyle w:val="TableHeading"/>
              <w:suppressLineNumbers/>
              <w:shd w:fill="33594B" w:val="clear"/>
              <w:bidi w:val="0"/>
              <w:jc w:val="start"/>
              <w:rPr/>
            </w:pPr>
            <w:r>
              <w:rPr/>
              <w:t>Target by July 2027</w:t>
            </w:r>
          </w:p>
        </w:tc>
        <w:tc>
          <w:tcPr>
            <w:tcW w:w="1547" w:type="dxa"/>
            <w:tcBorders/>
            <w:vAlign w:val="center"/>
          </w:tcPr>
          <w:p>
            <w:pPr>
              <w:pStyle w:val="TableHeading"/>
              <w:suppressLineNumbers/>
              <w:shd w:fill="33594B" w:val="clear"/>
              <w:bidi w:val="0"/>
              <w:jc w:val="start"/>
              <w:rPr/>
            </w:pPr>
            <w:r>
              <w:rPr/>
              <w:t>Owner / decision</w:t>
            </w:r>
          </w:p>
        </w:tc>
      </w:tr>
      <w:tr>
        <w:trPr/>
        <w:tc>
          <w:tcPr>
            <w:tcW w:w="1827" w:type="dxa"/>
            <w:tcBorders/>
            <w:vAlign w:val="center"/>
          </w:tcPr>
          <w:p>
            <w:pPr>
              <w:pStyle w:val="TableContents"/>
              <w:widowControl w:val="false"/>
              <w:suppressLineNumbers/>
              <w:bidi w:val="0"/>
              <w:jc w:val="start"/>
              <w:rPr/>
            </w:pPr>
            <w:r>
              <w:rPr/>
              <w:t>Demo-first release discipline</w:t>
            </w:r>
          </w:p>
        </w:tc>
        <w:tc>
          <w:tcPr>
            <w:tcW w:w="3483" w:type="dxa"/>
            <w:tcBorders/>
            <w:vAlign w:val="center"/>
          </w:tcPr>
          <w:p>
            <w:pPr>
              <w:pStyle w:val="TableContents"/>
              <w:widowControl w:val="false"/>
              <w:suppressLineNumbers/>
              <w:bidi w:val="0"/>
              <w:jc w:val="start"/>
              <w:rPr/>
            </w:pPr>
            <w:r>
              <w:rPr/>
              <w:t>Reception and WordPress deployment procedures are documented; Report System modules are local-only</w:t>
            </w:r>
          </w:p>
        </w:tc>
        <w:tc>
          <w:tcPr>
            <w:tcW w:w="3179" w:type="dxa"/>
            <w:tcBorders/>
            <w:vAlign w:val="center"/>
          </w:tcPr>
          <w:p>
            <w:pPr>
              <w:pStyle w:val="TableContents"/>
              <w:widowControl w:val="false"/>
              <w:suppressLineNumbers/>
              <w:bidi w:val="0"/>
              <w:jc w:val="start"/>
              <w:rPr/>
            </w:pPr>
            <w:r>
              <w:rPr/>
              <w:t>100% of production releases have a demo result, backup reference and post-release route check</w:t>
            </w:r>
          </w:p>
        </w:tc>
        <w:tc>
          <w:tcPr>
            <w:tcW w:w="1547" w:type="dxa"/>
            <w:tcBorders/>
            <w:vAlign w:val="center"/>
          </w:tcPr>
          <w:p>
            <w:pPr>
              <w:pStyle w:val="TableContents"/>
              <w:widowControl w:val="false"/>
              <w:suppressLineNumbers/>
              <w:bidi w:val="0"/>
              <w:jc w:val="start"/>
              <w:rPr/>
            </w:pPr>
            <w:r>
              <w:rPr/>
              <w:t>ICT</w:t>
            </w:r>
          </w:p>
        </w:tc>
      </w:tr>
      <w:tr>
        <w:trPr/>
        <w:tc>
          <w:tcPr>
            <w:tcW w:w="1827" w:type="dxa"/>
            <w:tcBorders/>
            <w:vAlign w:val="center"/>
          </w:tcPr>
          <w:p>
            <w:pPr>
              <w:pStyle w:val="TableContents"/>
              <w:widowControl w:val="false"/>
              <w:suppressLineNumbers/>
              <w:bidi w:val="0"/>
              <w:jc w:val="start"/>
              <w:rPr/>
            </w:pPr>
            <w:r>
              <w:rPr/>
              <w:t>Portfolio ownership</w:t>
            </w:r>
          </w:p>
        </w:tc>
        <w:tc>
          <w:tcPr>
            <w:tcW w:w="3483" w:type="dxa"/>
            <w:tcBorders/>
            <w:vAlign w:val="center"/>
          </w:tcPr>
          <w:p>
            <w:pPr>
              <w:pStyle w:val="TableContents"/>
              <w:widowControl w:val="false"/>
              <w:suppressLineNumbers/>
              <w:bidi w:val="0"/>
              <w:jc w:val="start"/>
              <w:rPr/>
            </w:pPr>
            <w:r>
              <w:rPr/>
              <w:t>Owner trackers exist for Reception, Virtual Campus, Report System and Wingu decisions</w:t>
            </w:r>
          </w:p>
        </w:tc>
        <w:tc>
          <w:tcPr>
            <w:tcW w:w="3179" w:type="dxa"/>
            <w:tcBorders/>
            <w:vAlign w:val="center"/>
          </w:tcPr>
          <w:p>
            <w:pPr>
              <w:pStyle w:val="TableContents"/>
              <w:widowControl w:val="false"/>
              <w:suppressLineNumbers/>
              <w:bidi w:val="0"/>
              <w:jc w:val="start"/>
              <w:rPr/>
            </w:pPr>
            <w:r>
              <w:rPr/>
              <w:t>100% of open launch blockers have an owner and next action reviewed monthly</w:t>
            </w:r>
          </w:p>
        </w:tc>
        <w:tc>
          <w:tcPr>
            <w:tcW w:w="1547" w:type="dxa"/>
            <w:tcBorders/>
            <w:vAlign w:val="center"/>
          </w:tcPr>
          <w:p>
            <w:pPr>
              <w:pStyle w:val="TableContents"/>
              <w:widowControl w:val="false"/>
              <w:suppressLineNumbers/>
              <w:bidi w:val="0"/>
              <w:jc w:val="start"/>
              <w:rPr/>
            </w:pPr>
            <w:r>
              <w:rPr/>
              <w:t>Management</w:t>
            </w:r>
          </w:p>
        </w:tc>
      </w:tr>
      <w:tr>
        <w:trPr/>
        <w:tc>
          <w:tcPr>
            <w:tcW w:w="1827" w:type="dxa"/>
            <w:tcBorders/>
            <w:vAlign w:val="center"/>
          </w:tcPr>
          <w:p>
            <w:pPr>
              <w:pStyle w:val="TableContents"/>
              <w:widowControl w:val="false"/>
              <w:suppressLineNumbers/>
              <w:bidi w:val="0"/>
              <w:jc w:val="start"/>
              <w:rPr/>
            </w:pPr>
            <w:r>
              <w:rPr/>
              <w:t>Operational documentation</w:t>
            </w:r>
          </w:p>
        </w:tc>
        <w:tc>
          <w:tcPr>
            <w:tcW w:w="3483" w:type="dxa"/>
            <w:tcBorders/>
            <w:vAlign w:val="center"/>
          </w:tcPr>
          <w:p>
            <w:pPr>
              <w:pStyle w:val="TableContents"/>
              <w:widowControl w:val="false"/>
              <w:suppressLineNumbers/>
              <w:bidi w:val="0"/>
              <w:jc w:val="start"/>
              <w:rPr/>
            </w:pPr>
            <w:r>
              <w:rPr/>
              <w:t>Whole-toolkit briefing, presentation summary, training guides and worklogs exist</w:t>
            </w:r>
          </w:p>
        </w:tc>
        <w:tc>
          <w:tcPr>
            <w:tcW w:w="3179" w:type="dxa"/>
            <w:tcBorders/>
            <w:vAlign w:val="center"/>
          </w:tcPr>
          <w:p>
            <w:pPr>
              <w:pStyle w:val="TableContents"/>
              <w:widowControl w:val="false"/>
              <w:suppressLineNumbers/>
              <w:bidi w:val="0"/>
              <w:jc w:val="start"/>
              <w:rPr/>
            </w:pPr>
            <w:r>
              <w:rPr/>
              <w:t>Every production system has an operator guide, rollback note and current status page</w:t>
            </w:r>
          </w:p>
        </w:tc>
        <w:tc>
          <w:tcPr>
            <w:tcW w:w="1547" w:type="dxa"/>
            <w:tcBorders/>
            <w:vAlign w:val="center"/>
          </w:tcPr>
          <w:p>
            <w:pPr>
              <w:pStyle w:val="TableContents"/>
              <w:widowControl w:val="false"/>
              <w:suppressLineNumbers/>
              <w:bidi w:val="0"/>
              <w:jc w:val="start"/>
              <w:rPr/>
            </w:pPr>
            <w:r>
              <w:rPr/>
              <w:t>ICT + system owners</w:t>
            </w:r>
          </w:p>
        </w:tc>
      </w:tr>
    </w:tbl>
    <w:p>
      <w:pPr>
        <w:pStyle w:val="Heading2"/>
        <w:bidi w:val="0"/>
        <w:jc w:val="start"/>
        <w:rPr/>
      </w:pPr>
      <w:r>
        <w:rPr/>
        <w:t>Initial-period priorities (26 May–October 2026)</w:t>
      </w:r>
    </w:p>
    <w:p>
      <w:pPr>
        <w:pStyle w:val="BodyText"/>
        <w:numPr>
          <w:ilvl w:val="0"/>
          <w:numId w:val="1"/>
        </w:numPr>
        <w:tabs>
          <w:tab w:val="clear" w:pos="709"/>
          <w:tab w:val="left" w:pos="789" w:leader="none"/>
        </w:tabs>
        <w:bidi w:val="0"/>
        <w:spacing w:before="80" w:after="0"/>
        <w:ind w:hanging="283" w:start="789"/>
        <w:jc w:val="start"/>
        <w:rPr/>
      </w:pPr>
      <w:r>
        <w:rPr/>
        <w:t xml:space="preserve">Assign named owners and confirm the operating denominator for each finalized key result in the Report System. </w:t>
      </w:r>
    </w:p>
    <w:p>
      <w:pPr>
        <w:pStyle w:val="BodyText"/>
        <w:numPr>
          <w:ilvl w:val="0"/>
          <w:numId w:val="1"/>
        </w:numPr>
        <w:tabs>
          <w:tab w:val="clear" w:pos="709"/>
          <w:tab w:val="left" w:pos="789" w:leader="none"/>
        </w:tabs>
        <w:bidi w:val="0"/>
        <w:spacing w:before="80" w:after="0"/>
        <w:ind w:hanging="283" w:start="789"/>
        <w:jc w:val="start"/>
        <w:rPr/>
      </w:pPr>
      <w:r>
        <w:rPr/>
        <w:t xml:space="preserve">Review the new Report System modules locally, then make a controlled demo deployment decision. </w:t>
      </w:r>
    </w:p>
    <w:p>
      <w:pPr>
        <w:pStyle w:val="BodyText"/>
        <w:numPr>
          <w:ilvl w:val="0"/>
          <w:numId w:val="1"/>
        </w:numPr>
        <w:tabs>
          <w:tab w:val="clear" w:pos="709"/>
          <w:tab w:val="left" w:pos="789" w:leader="none"/>
        </w:tabs>
        <w:bidi w:val="0"/>
        <w:spacing w:before="80" w:after="0"/>
        <w:ind w:hanging="283" w:start="789"/>
        <w:jc w:val="start"/>
        <w:rPr/>
      </w:pPr>
      <w:r>
        <w:rPr/>
        <w:t xml:space="preserve">Provide the approved attendance-sheet format and rejected-Wingu-row owner; capture one authenticated Wingu review session without submitting data. </w:t>
      </w:r>
    </w:p>
    <w:p>
      <w:pPr>
        <w:pStyle w:val="BodyText"/>
        <w:numPr>
          <w:ilvl w:val="0"/>
          <w:numId w:val="1"/>
        </w:numPr>
        <w:tabs>
          <w:tab w:val="clear" w:pos="709"/>
          <w:tab w:val="left" w:pos="789" w:leader="none"/>
        </w:tabs>
        <w:bidi w:val="0"/>
        <w:spacing w:before="80" w:after="0"/>
        <w:ind w:hanging="283" w:start="789"/>
        <w:jc w:val="start"/>
        <w:rPr/>
      </w:pPr>
      <w:r>
        <w:rPr/>
        <w:t xml:space="preserve">Approve the Virtual Campus pilot cohort, hosting and live-video arrangements. </w:t>
      </w:r>
    </w:p>
    <w:p>
      <w:pPr>
        <w:pStyle w:val="BodyText"/>
        <w:numPr>
          <w:ilvl w:val="0"/>
          <w:numId w:val="1"/>
        </w:numPr>
        <w:tabs>
          <w:tab w:val="clear" w:pos="709"/>
          <w:tab w:val="left" w:pos="789" w:leader="none"/>
        </w:tabs>
        <w:bidi w:val="0"/>
        <w:spacing w:before="80" w:after="0"/>
        <w:ind w:hanging="283" w:start="789"/>
        <w:jc w:val="start"/>
        <w:rPr/>
      </w:pPr>
      <w:r>
        <w:rPr/>
        <w:t xml:space="preserve">Complete the patched WordPress theme demo review and the Reception WhatsApp delivery ownership decision. </w:t>
      </w:r>
    </w:p>
    <w:p>
      <w:pPr>
        <w:pStyle w:val="BodyText"/>
        <w:numPr>
          <w:ilvl w:val="0"/>
          <w:numId w:val="1"/>
        </w:numPr>
        <w:tabs>
          <w:tab w:val="clear" w:pos="709"/>
          <w:tab w:val="left" w:pos="789" w:leader="none"/>
        </w:tabs>
        <w:bidi w:val="0"/>
        <w:ind w:hanging="283" w:start="789"/>
        <w:jc w:val="start"/>
        <w:rPr/>
      </w:pPr>
      <w:r>
        <w:rPr/>
        <w:t xml:space="preserve">Index the poster library and mark approved versus source-only assets. </w:t>
      </w:r>
    </w:p>
    <w:p>
      <w:pPr>
        <w:pStyle w:val="Heading2"/>
        <w:bidi w:val="0"/>
        <w:jc w:val="start"/>
        <w:rPr/>
      </w:pPr>
      <w:r>
        <w:rPr/>
        <w:t>Portfolio evidence</w:t>
      </w:r>
    </w:p>
    <w:p>
      <w:pPr>
        <w:pStyle w:val="BodyText"/>
        <w:numPr>
          <w:ilvl w:val="0"/>
          <w:numId w:val="2"/>
        </w:numPr>
        <w:tabs>
          <w:tab w:val="clear" w:pos="709"/>
          <w:tab w:val="left" w:pos="789" w:leader="none"/>
        </w:tabs>
        <w:bidi w:val="0"/>
        <w:spacing w:before="80" w:after="0"/>
        <w:ind w:hanging="283" w:start="789"/>
        <w:jc w:val="start"/>
        <w:rPr/>
      </w:pPr>
      <w:r>
        <w:rPr/>
        <w:t xml:space="preserve">Whole-toolkit status: </w:t>
      </w:r>
      <w:r>
        <w:rPr>
          <w:rStyle w:val="SourceText"/>
        </w:rPr>
        <w:t>wordpress/docs/TOOLKIT-BRIEFING-2026-08-28.md</w:t>
      </w:r>
      <w:r>
        <w:rPr/>
        <w:t xml:space="preserve"> </w:t>
      </w:r>
    </w:p>
    <w:p>
      <w:pPr>
        <w:pStyle w:val="BodyText"/>
        <w:numPr>
          <w:ilvl w:val="0"/>
          <w:numId w:val="2"/>
        </w:numPr>
        <w:tabs>
          <w:tab w:val="clear" w:pos="709"/>
          <w:tab w:val="left" w:pos="789" w:leader="none"/>
        </w:tabs>
        <w:bidi w:val="0"/>
        <w:spacing w:before="80" w:after="0"/>
        <w:ind w:hanging="283" w:start="789"/>
        <w:jc w:val="start"/>
        <w:rPr/>
      </w:pPr>
      <w:r>
        <w:rPr/>
        <w:t xml:space="preserve">Non-technical speaking notes: </w:t>
      </w:r>
      <w:r>
        <w:rPr>
          <w:rStyle w:val="SourceText"/>
        </w:rPr>
        <w:t>wordpress/docs/TOOLKIT-PRESENTATION-SUMMARY-2026-08-28.md</w:t>
      </w:r>
      <w:r>
        <w:rPr/>
        <w:t xml:space="preserve"> </w:t>
      </w:r>
    </w:p>
    <w:p>
      <w:pPr>
        <w:pStyle w:val="BodyText"/>
        <w:numPr>
          <w:ilvl w:val="0"/>
          <w:numId w:val="2"/>
        </w:numPr>
        <w:tabs>
          <w:tab w:val="clear" w:pos="709"/>
          <w:tab w:val="left" w:pos="789" w:leader="none"/>
        </w:tabs>
        <w:bidi w:val="0"/>
        <w:spacing w:before="80" w:after="0"/>
        <w:ind w:hanging="283" w:start="789"/>
        <w:jc w:val="start"/>
        <w:rPr/>
      </w:pPr>
      <w:r>
        <w:rPr/>
        <w:t xml:space="preserve">Reception owner inputs: </w:t>
      </w:r>
      <w:r>
        <w:rPr>
          <w:rStyle w:val="SourceText"/>
        </w:rPr>
        <w:t>reception-system/docs/OWNER_INPUT_TRACKER.md</w:t>
      </w:r>
      <w:r>
        <w:rPr/>
        <w:t xml:space="preserve"> </w:t>
      </w:r>
    </w:p>
    <w:p>
      <w:pPr>
        <w:pStyle w:val="BodyText"/>
        <w:numPr>
          <w:ilvl w:val="0"/>
          <w:numId w:val="2"/>
        </w:numPr>
        <w:tabs>
          <w:tab w:val="clear" w:pos="709"/>
          <w:tab w:val="left" w:pos="789" w:leader="none"/>
        </w:tabs>
        <w:bidi w:val="0"/>
        <w:spacing w:before="80" w:after="0"/>
        <w:ind w:hanging="283" w:start="789"/>
        <w:jc w:val="start"/>
        <w:rPr/>
      </w:pPr>
      <w:r>
        <w:rPr/>
        <w:t xml:space="preserve">Virtual Campus owner inputs: </w:t>
      </w:r>
      <w:r>
        <w:rPr>
          <w:rStyle w:val="SourceText"/>
        </w:rPr>
        <w:t>SmartLecturer_VirtualCampus/virtual-campus/docs/OWNER_INPUT_TRACKER.md</w:t>
      </w:r>
      <w:r>
        <w:rPr/>
        <w:t xml:space="preserve"> </w:t>
      </w:r>
    </w:p>
    <w:p>
      <w:pPr>
        <w:pStyle w:val="BodyText"/>
        <w:numPr>
          <w:ilvl w:val="0"/>
          <w:numId w:val="2"/>
        </w:numPr>
        <w:tabs>
          <w:tab w:val="clear" w:pos="709"/>
          <w:tab w:val="left" w:pos="789" w:leader="none"/>
        </w:tabs>
        <w:bidi w:val="0"/>
        <w:spacing w:before="80" w:after="0"/>
        <w:ind w:hanging="283" w:start="789"/>
        <w:jc w:val="start"/>
        <w:rPr/>
      </w:pPr>
      <w:r>
        <w:rPr/>
        <w:t xml:space="preserve">Report System owner inputs: </w:t>
      </w:r>
      <w:r>
        <w:rPr>
          <w:rStyle w:val="SourceText"/>
        </w:rPr>
        <w:t>report-system/OWNER_INPUT_TRACKER.md</w:t>
      </w:r>
      <w:r>
        <w:rPr/>
        <w:t xml:space="preserve"> </w:t>
      </w:r>
    </w:p>
    <w:p>
      <w:pPr>
        <w:pStyle w:val="BodyText"/>
        <w:numPr>
          <w:ilvl w:val="0"/>
          <w:numId w:val="2"/>
        </w:numPr>
        <w:tabs>
          <w:tab w:val="clear" w:pos="709"/>
          <w:tab w:val="left" w:pos="789" w:leader="none"/>
        </w:tabs>
        <w:bidi w:val="0"/>
        <w:spacing w:before="80" w:after="0"/>
        <w:ind w:hanging="283" w:start="789"/>
        <w:jc w:val="start"/>
        <w:rPr/>
      </w:pPr>
      <w:r>
        <w:rPr/>
        <w:t xml:space="preserve">Report System/Wingu design: </w:t>
      </w:r>
      <w:r>
        <w:rPr>
          <w:rStyle w:val="SourceText"/>
        </w:rPr>
        <w:t>report-system/WINGU_BOX_INTEGRATION_DESIGN.md</w:t>
      </w:r>
      <w:r>
        <w:rPr/>
        <w:t xml:space="preserve"> </w:t>
      </w:r>
    </w:p>
    <w:p>
      <w:pPr>
        <w:pStyle w:val="BodyText"/>
        <w:numPr>
          <w:ilvl w:val="0"/>
          <w:numId w:val="2"/>
        </w:numPr>
        <w:tabs>
          <w:tab w:val="clear" w:pos="709"/>
          <w:tab w:val="left" w:pos="789" w:leader="none"/>
        </w:tabs>
        <w:bidi w:val="0"/>
        <w:spacing w:before="80" w:after="140"/>
        <w:ind w:hanging="283" w:start="789"/>
        <w:jc w:val="start"/>
        <w:rPr/>
      </w:pPr>
      <w:r>
        <w:rPr/>
        <w:t xml:space="preserve">Working OKR register: Report System </w:t>
      </w:r>
      <w:r>
        <w:rPr>
          <w:rStyle w:val="SourceText"/>
        </w:rPr>
        <w:t>/okrs</w:t>
      </w:r>
      <w:r>
        <w:rPr/>
        <w:t xml:space="preserve"> module (local review currently at </w:t>
      </w:r>
      <w:r>
        <w:rPr>
          <w:rStyle w:val="SourceText"/>
        </w:rPr>
        <w:t>http://127.0.0.1:5155/okrs</w:t>
      </w:r>
      <w:r>
        <w:rPr/>
        <w:t xml:space="preserve">) </w:t>
      </w:r>
    </w:p>
    <w:sectPr>
      <w:type w:val="nextPage"/>
      <w:pgSz w:w="11906" w:h="16838"/>
      <w:pgMar w:left="935" w:right="935" w:gutter="0" w:header="0" w:top="935" w:footer="0" w:bottom="935"/>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altName w:val="Calibri"/>
    <w:charset w:val="01" w:characterSet="utf-8"/>
    <w:family w:val="auto"/>
    <w:pitch w:val="default"/>
  </w:font>
  <w:font w:name="Consolas">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12"/>
    </w:pPr>
    <w:rPr>
      <w:rFonts w:ascii="Aptos;Calibri;Arial;sans-serif" w:hAnsi="Aptos;Calibri;Arial;sans-serif" w:eastAsia="Aptos;Calibri;Arial;sans-serif" w:cs="Aptos;Calibri;Arial;sans-serif"/>
      <w:color w:val="222222"/>
      <w:sz w:val="20"/>
      <w:szCs w:val="20"/>
      <w:lang w:val="en-US" w:eastAsia="zh-CN" w:bidi="hi-IN"/>
    </w:rPr>
  </w:style>
  <w:style w:type="paragraph" w:styleId="Heading1">
    <w:name w:val="heading 1"/>
    <w:basedOn w:val="Heading"/>
    <w:next w:val="BodyText"/>
    <w:qFormat/>
    <w:pPr>
      <w:pBdr>
        <w:bottom w:val="single" w:sz="16" w:space="7" w:color="D76A1F"/>
      </w:pBdr>
      <w:spacing w:before="240" w:after="220"/>
      <w:outlineLvl w:val="0"/>
    </w:pPr>
    <w:rPr>
      <w:rFonts w:ascii="Liberation Serif" w:hAnsi="Liberation Serif" w:eastAsia="Noto Serif CJK SC" w:cs="FreeSans"/>
      <w:b/>
      <w:bCs/>
      <w:color w:val="9A4B14"/>
      <w:sz w:val="44"/>
      <w:szCs w:val="44"/>
    </w:rPr>
  </w:style>
  <w:style w:type="paragraph" w:styleId="Heading2">
    <w:name w:val="heading 2"/>
    <w:basedOn w:val="Heading"/>
    <w:next w:val="BodyText"/>
    <w:qFormat/>
    <w:pPr>
      <w:keepNext w:val="true"/>
      <w:spacing w:before="320" w:after="120"/>
      <w:outlineLvl w:val="1"/>
    </w:pPr>
    <w:rPr>
      <w:rFonts w:ascii="Liberation Serif" w:hAnsi="Liberation Serif" w:eastAsia="Noto Serif CJK SC" w:cs="FreeSans"/>
      <w:b/>
      <w:bCs/>
      <w:color w:val="33594B"/>
      <w:sz w:val="29"/>
      <w:szCs w:val="29"/>
    </w:rPr>
  </w:style>
  <w:style w:type="character" w:styleId="SourceText">
    <w:name w:val="Source Text"/>
    <w:qFormat/>
    <w:rPr>
      <w:rFonts w:ascii="Consolas;monospace" w:hAnsi="Consolas;monospace" w:eastAsia="Consolas;monospace" w:cs="Consolas;monospace"/>
      <w:sz w:val="16"/>
      <w:szCs w:val="16"/>
      <w:shd w:fill="F1F1F1" w:val="clear"/>
    </w:rPr>
  </w:style>
  <w:style w:type="character" w:styleId="Strong">
    <w:name w:val="Strong"/>
    <w:qFormat/>
    <w:rPr>
      <w:b/>
      <w:bCs/>
      <w:color w:val="263D34"/>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80" w:after="140"/>
      <w:ind w:start="80" w:end="8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3594B" w:val="clear"/>
      <w:jc w:val="start"/>
    </w:pPr>
    <w:rPr>
      <w:b/>
      <w:bCs/>
      <w:color w:val="FFFFF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Toolkit OKRs — 26 May 2026 to July 2027</dc:title>
</cp:coreProperties>
</file>

<file path=docProps/custom.xml><?xml version="1.0" encoding="utf-8"?>
<Properties xmlns="http://schemas.openxmlformats.org/officeDocument/2006/custom-properties" xmlns:vt="http://schemas.openxmlformats.org/officeDocument/2006/docPropsVTypes"/>
</file>