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УТВЕРЖДАЮ</w:t>
      </w:r>
    </w:p>
    <w:p w14:paraId="02000000">
      <w:pPr>
        <w:spacing w:after="0"/>
        <w:ind/>
        <w:jc w:val="right"/>
        <w:rPr>
          <w:rFonts w:ascii="Times New Roman" w:hAnsi="Times New Roman"/>
          <w:sz w:val="24"/>
        </w:rPr>
      </w:pPr>
    </w:p>
    <w:p w14:paraId="03000000">
      <w:pPr>
        <w:widowControl w:val="0"/>
        <w:spacing w:after="0" w:line="240" w:lineRule="auto"/>
        <w:ind w:firstLine="0" w:left="720"/>
        <w:contextualSpacing w:val="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Заведующий ГБДОУ детский сад №21</w:t>
      </w:r>
    </w:p>
    <w:p w14:paraId="04000000">
      <w:pPr>
        <w:widowControl w:val="0"/>
        <w:spacing w:after="0" w:line="240" w:lineRule="auto"/>
        <w:ind w:firstLine="0" w:left="720"/>
        <w:contextualSpacing w:val="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Петроградского района </w:t>
      </w:r>
    </w:p>
    <w:p w14:paraId="05000000">
      <w:pPr>
        <w:widowControl w:val="0"/>
        <w:spacing w:after="0" w:line="240" w:lineRule="auto"/>
        <w:ind w:firstLine="0" w:left="720"/>
        <w:contextualSpacing w:val="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Санкт-Петербурга</w:t>
      </w:r>
    </w:p>
    <w:p w14:paraId="06000000">
      <w:pPr>
        <w:widowControl w:val="0"/>
        <w:spacing w:after="0" w:line="240" w:lineRule="auto"/>
        <w:ind w:firstLine="0" w:left="720"/>
        <w:contextualSpacing w:val="1"/>
        <w:jc w:val="right"/>
        <w:rPr>
          <w:rFonts w:ascii="Times New Roman" w:hAnsi="Times New Roman"/>
          <w:sz w:val="24"/>
        </w:rPr>
      </w:pPr>
    </w:p>
    <w:p w14:paraId="07000000">
      <w:pPr>
        <w:widowControl w:val="0"/>
        <w:spacing w:after="0" w:line="240" w:lineRule="auto"/>
        <w:ind w:firstLine="0" w:left="720"/>
        <w:contextualSpacing w:val="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 Епихина</w:t>
      </w:r>
      <w:r>
        <w:rPr>
          <w:rFonts w:ascii="Times New Roman" w:hAnsi="Times New Roman"/>
          <w:sz w:val="24"/>
        </w:rPr>
        <w:t xml:space="preserve">  Н.В.</w:t>
      </w:r>
    </w:p>
    <w:p w14:paraId="08000000">
      <w:pPr>
        <w:widowControl w:val="0"/>
        <w:spacing w:after="0" w:line="240" w:lineRule="auto"/>
        <w:ind w:firstLine="0" w:left="720"/>
        <w:contextualSpacing w:val="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«____» ______________ 2025г.</w:t>
      </w:r>
    </w:p>
    <w:p w14:paraId="09000000">
      <w:pPr>
        <w:spacing w:after="150" w:line="240" w:lineRule="auto"/>
        <w:ind/>
        <w:jc w:val="right"/>
        <w:rPr>
          <w:rFonts w:ascii="Times New Roman" w:hAnsi="Times New Roman"/>
          <w:sz w:val="20"/>
        </w:rPr>
      </w:pPr>
    </w:p>
    <w:p w14:paraId="0A000000">
      <w:pPr>
        <w:ind/>
        <w:jc w:val="right"/>
        <w:rPr>
          <w:b w:val="1"/>
          <w:sz w:val="20"/>
        </w:rPr>
      </w:pPr>
    </w:p>
    <w:p w14:paraId="0B000000">
      <w:pPr>
        <w:ind/>
        <w:jc w:val="right"/>
        <w:rPr>
          <w:b w:val="1"/>
          <w:sz w:val="20"/>
        </w:rPr>
      </w:pPr>
    </w:p>
    <w:p w14:paraId="0C000000">
      <w:pPr>
        <w:ind/>
        <w:jc w:val="right"/>
        <w:rPr>
          <w:b w:val="1"/>
          <w:sz w:val="20"/>
        </w:rPr>
      </w:pPr>
      <w:r>
        <w:rPr>
          <w:b w:val="1"/>
          <w:sz w:val="20"/>
        </w:rPr>
        <w:t>Приложение №2 к извещению об осуществлении закупки</w:t>
      </w:r>
    </w:p>
    <w:p w14:paraId="0D000000">
      <w:pPr>
        <w:ind/>
        <w:jc w:val="right"/>
        <w:rPr>
          <w:b w:val="1"/>
          <w:sz w:val="20"/>
        </w:rPr>
      </w:pPr>
    </w:p>
    <w:p w14:paraId="0E000000">
      <w:pPr>
        <w:ind/>
        <w:jc w:val="center"/>
        <w:rPr>
          <w:b w:val="1"/>
          <w:sz w:val="20"/>
        </w:rPr>
      </w:pPr>
      <w:r>
        <w:rPr>
          <w:b w:val="1"/>
          <w:sz w:val="20"/>
        </w:rPr>
        <w:t>ОБОСНОВАНИЕ НАЧАЛЬНОЙ (МАКСИМАЛЬНОЙ) ЦЕНЫ КОНТРАКТА</w:t>
      </w:r>
    </w:p>
    <w:p w14:paraId="0F000000">
      <w:pPr>
        <w:ind/>
        <w:jc w:val="center"/>
        <w:rPr>
          <w:b w:val="1"/>
          <w:sz w:val="20"/>
        </w:rPr>
      </w:pPr>
    </w:p>
    <w:p w14:paraId="10000000">
      <w:pPr>
        <w:rPr>
          <w:sz w:val="20"/>
        </w:rPr>
      </w:pPr>
      <w:r>
        <w:rPr>
          <w:sz w:val="20"/>
        </w:rPr>
        <w:t xml:space="preserve">    Начальная (максимальная) цена контракта (начальная сумма цен единицы товара, работы, услуги) определена и обоснована в соответствии с требованиями </w:t>
      </w:r>
      <w:r>
        <w:rPr>
          <w:sz w:val="20"/>
        </w:rPr>
        <w:fldChar w:fldCharType="begin"/>
      </w:r>
      <w:r>
        <w:rPr>
          <w:sz w:val="20"/>
        </w:rPr>
        <w:instrText>HYPERLINK "consultantplus://offline/ref=EB9854B23D85897930905B1BBECE8AF7685842A66EE54FE1014FD39FA00362A8A0152E9B42EDA878w5k0H"</w:instrText>
      </w:r>
      <w:r>
        <w:rPr>
          <w:sz w:val="20"/>
        </w:rPr>
        <w:fldChar w:fldCharType="separate"/>
      </w:r>
      <w:r>
        <w:rPr>
          <w:sz w:val="20"/>
        </w:rPr>
        <w:t>статьи 22</w:t>
      </w:r>
      <w:r>
        <w:rPr>
          <w:sz w:val="20"/>
        </w:rPr>
        <w:fldChar w:fldCharType="end"/>
      </w:r>
      <w:r>
        <w:rPr>
          <w:sz w:val="20"/>
        </w:rPr>
        <w:t xml:space="preserve"> Закона и методических </w:t>
      </w:r>
      <w:r>
        <w:rPr>
          <w:sz w:val="20"/>
        </w:rPr>
        <w:fldChar w:fldCharType="begin"/>
      </w:r>
      <w:r>
        <w:rPr>
          <w:sz w:val="20"/>
        </w:rPr>
        <w:instrText>HYPERLINK "consultantplus://offline/ref=EB9854B23D85897930905B1BBECE8AF76B5546A760EB4FE1014FD39FA00362A8A0152E9B42EDAA79w5k1H"</w:instrText>
      </w:r>
      <w:r>
        <w:rPr>
          <w:sz w:val="20"/>
        </w:rPr>
        <w:fldChar w:fldCharType="separate"/>
      </w:r>
      <w:r>
        <w:rPr>
          <w:sz w:val="20"/>
        </w:rPr>
        <w:t>рекомендаций</w:t>
      </w:r>
      <w:r>
        <w:rPr>
          <w:sz w:val="20"/>
        </w:rPr>
        <w:fldChar w:fldCharType="end"/>
      </w:r>
      <w:r>
        <w:rPr>
          <w:sz w:val="20"/>
        </w:rPr>
        <w:t xml:space="preserve"> по применению методов определения начальной (максимальной) цены контракта, цены контракта, заключаемого с единственным поставщиком (подрядчиком, исполнителем), утвержденных приказом Министерства экономического развития Российской Федерации от 02.10.2013 № 567 «Об утверждении Методических рекомендаций по применению методов определения начальной (максимальной) цены контракта, цены контракта, заключаемого с единственным поставщиком (подрядчиком, исполнителем)», посредством применения следующего метода или нескольких следующих методов: </w:t>
      </w:r>
      <w:r>
        <w:rPr>
          <w:b w:val="1"/>
          <w:sz w:val="20"/>
        </w:rPr>
        <w:t>Метод сопоставим</w:t>
      </w:r>
      <w:r>
        <w:rPr>
          <w:b w:val="1"/>
          <w:sz w:val="20"/>
        </w:rPr>
        <w:t>ых рыночных цен (анализа рынка)</w:t>
      </w:r>
      <w:r>
        <w:rPr>
          <w:sz w:val="20"/>
        </w:rPr>
        <w:t>.</w:t>
      </w:r>
    </w:p>
    <w:p w14:paraId="11000000">
      <w:pPr>
        <w:ind/>
        <w:jc w:val="center"/>
        <w:rPr>
          <w:b w:val="1"/>
          <w:sz w:val="20"/>
        </w:rPr>
      </w:pPr>
    </w:p>
    <w:p w14:paraId="12000000">
      <w:pPr>
        <w:ind/>
        <w:jc w:val="center"/>
        <w:rPr>
          <w:b w:val="1"/>
          <w:sz w:val="20"/>
        </w:rPr>
      </w:pPr>
    </w:p>
    <w:p w14:paraId="13000000">
      <w:pPr>
        <w:widowControl w:val="0"/>
        <w:ind/>
        <w:jc w:val="both"/>
        <w:rPr>
          <w:sz w:val="20"/>
        </w:rPr>
      </w:pPr>
      <w:r>
        <w:rPr>
          <w:sz w:val="20"/>
        </w:rPr>
        <w:t xml:space="preserve">В целях применения метода сопоставимых рыночных цен (анализа рынка), </w:t>
      </w:r>
      <w:r>
        <w:rPr>
          <w:sz w:val="20"/>
        </w:rPr>
        <w:t xml:space="preserve">Заказчиком было направлены запросы о предоставлении ценовой информации </w:t>
      </w:r>
      <w:r>
        <w:rPr>
          <w:sz w:val="20"/>
          <w:u w:val="single"/>
        </w:rPr>
        <w:t>5-ти подрядчикам (поставщикам, исполнителям)</w:t>
      </w:r>
      <w:r>
        <w:rPr>
          <w:sz w:val="20"/>
        </w:rPr>
        <w:t xml:space="preserve">, </w:t>
      </w:r>
      <w:r>
        <w:rPr>
          <w:sz w:val="20"/>
        </w:rPr>
        <w:t>осуществляющих поставку идентичных товаров, работ, услуг,</w:t>
      </w:r>
      <w:r>
        <w:rPr>
          <w:sz w:val="20"/>
        </w:rPr>
        <w:t xml:space="preserve"> информация о которых имеется в свободном доступе (в частности, опубликована в печати, размещена на сайтах в сети «Интернет»). Ответы на запрос получены от 3 подрядчиков (поставщиков, исполнителей).</w:t>
      </w:r>
    </w:p>
    <w:p w14:paraId="14000000">
      <w:pPr>
        <w:widowControl w:val="0"/>
        <w:tabs>
          <w:tab w:leader="none" w:pos="5571" w:val="left"/>
        </w:tabs>
        <w:ind/>
        <w:jc w:val="both"/>
        <w:rPr>
          <w:sz w:val="20"/>
        </w:rPr>
      </w:pPr>
      <w:r>
        <w:rPr>
          <w:sz w:val="20"/>
        </w:rPr>
        <w:t xml:space="preserve">Расчет </w:t>
      </w:r>
      <w:r>
        <w:rPr>
          <w:sz w:val="20"/>
        </w:rPr>
        <w:t>начальной максимальной цены контракта</w:t>
      </w:r>
      <w:r>
        <w:rPr>
          <w:sz w:val="20"/>
        </w:rPr>
        <w:t>:</w:t>
      </w:r>
    </w:p>
    <w:p w14:paraId="15000000">
      <w:pPr>
        <w:widowControl w:val="0"/>
        <w:tabs>
          <w:tab w:leader="none" w:pos="5571" w:val="left"/>
        </w:tabs>
        <w:ind/>
        <w:jc w:val="both"/>
        <w:rPr>
          <w:sz w:val="20"/>
        </w:rPr>
      </w:pPr>
    </w:p>
    <w:p w14:paraId="16000000">
      <w:pPr>
        <w:widowControl w:val="0"/>
        <w:tabs>
          <w:tab w:leader="none" w:pos="5571" w:val="left"/>
        </w:tabs>
        <w:ind/>
        <w:jc w:val="both"/>
        <w:rPr>
          <w:sz w:val="20"/>
        </w:rPr>
      </w:pPr>
    </w:p>
    <w:tbl>
      <w:tblPr>
        <w:tblW w:type="auto" w:w="0"/>
        <w:tblLayout w:type="fixed"/>
      </w:tblPr>
      <w:tblGrid>
        <w:gridCol w:w="500"/>
        <w:gridCol w:w="2262"/>
        <w:gridCol w:w="625"/>
        <w:gridCol w:w="648"/>
        <w:gridCol w:w="1364"/>
        <w:gridCol w:w="1466"/>
        <w:gridCol w:w="1318"/>
        <w:gridCol w:w="1114"/>
        <w:gridCol w:w="1193"/>
        <w:gridCol w:w="1341"/>
        <w:gridCol w:w="1193"/>
        <w:gridCol w:w="1546"/>
      </w:tblGrid>
      <w:tr>
        <w:trPr>
          <w:trHeight w:hRule="exact" w:val="330"/>
        </w:trPr>
        <w:tc>
          <w:tcPr>
            <w:tcW w:type="dxa" w:w="500"/>
            <w:vMerge w:val="restart"/>
            <w:tcBorders>
              <w:top w:color="000000" w:sz="6" w:val="single"/>
              <w:left w:color="000000" w:sz="6" w:val="single"/>
              <w:bottom w:color="000000" w:val="nil"/>
              <w:right w:color="000000" w:sz="6" w:val="single"/>
            </w:tcBorders>
          </w:tcPr>
          <w:p w14:paraId="17000000">
            <w:pPr>
              <w:ind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№ п/п</w:t>
            </w:r>
          </w:p>
        </w:tc>
        <w:tc>
          <w:tcPr>
            <w:tcW w:type="dxa" w:w="2262"/>
            <w:vMerge w:val="restart"/>
            <w:tcBorders>
              <w:top w:color="000000" w:sz="6" w:val="single"/>
              <w:left w:color="000000" w:sz="6" w:val="single"/>
              <w:bottom w:color="000000" w:val="nil"/>
              <w:right w:color="000000" w:sz="6" w:val="single"/>
            </w:tcBorders>
            <w:vAlign w:val="center"/>
          </w:tcPr>
          <w:p w14:paraId="1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Наименование услуги</w:t>
            </w:r>
          </w:p>
        </w:tc>
        <w:tc>
          <w:tcPr>
            <w:tcW w:type="dxa" w:w="625"/>
            <w:vMerge w:val="restart"/>
            <w:tcBorders>
              <w:top w:color="000000" w:sz="6" w:val="single"/>
              <w:left w:color="000000" w:sz="6" w:val="single"/>
              <w:bottom w:color="000000" w:val="nil"/>
              <w:right w:color="000000" w:sz="6" w:val="single"/>
            </w:tcBorders>
            <w:vAlign w:val="center"/>
          </w:tcPr>
          <w:p w14:paraId="1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tcBorders>
              <w:top w:color="000000" w:sz="6" w:val="single"/>
              <w:left w:color="000000" w:val="nil"/>
              <w:bottom w:color="000000" w:val="nil"/>
              <w:right w:color="000000" w:sz="6" w:val="single"/>
            </w:tcBorders>
            <w:vAlign w:val="center"/>
          </w:tcPr>
          <w:p w14:paraId="1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Кол-во</w:t>
            </w:r>
          </w:p>
        </w:tc>
        <w:tc>
          <w:tcPr>
            <w:tcW w:type="dxa" w:w="4148"/>
            <w:gridSpan w:val="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1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Цена за единицу (руб.)</w:t>
            </w:r>
          </w:p>
        </w:tc>
        <w:tc>
          <w:tcPr>
            <w:tcW w:type="dxa" w:w="1114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1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Среднее арифметическое значение цены </w:t>
            </w:r>
          </w:p>
        </w:tc>
        <w:tc>
          <w:tcPr>
            <w:tcW w:type="dxa" w:w="1193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1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Среднее квадратичное отклонение </w:t>
            </w:r>
          </w:p>
        </w:tc>
        <w:tc>
          <w:tcPr>
            <w:tcW w:type="dxa" w:w="1341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1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Коэффициент вариации, должен быть &lt;33%</w:t>
            </w:r>
          </w:p>
        </w:tc>
        <w:tc>
          <w:tcPr>
            <w:tcW w:type="dxa" w:w="1193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1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НМЦК за единицу услуги, руб. </w:t>
            </w:r>
          </w:p>
        </w:tc>
        <w:tc>
          <w:tcPr>
            <w:tcW w:type="dxa" w:w="1546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НМЦК, руб. </w:t>
            </w:r>
          </w:p>
        </w:tc>
      </w:tr>
      <w:tr>
        <w:trPr>
          <w:trHeight w:hRule="exact" w:val="1095"/>
        </w:trPr>
        <w:tc>
          <w:tcPr>
            <w:tcW w:type="dxa" w:w="500"/>
            <w:gridSpan w:val="1"/>
            <w:vMerge w:val="continue"/>
            <w:tcBorders>
              <w:top w:color="000000" w:sz="6" w:val="single"/>
              <w:left w:color="000000" w:sz="6" w:val="single"/>
              <w:bottom w:color="000000" w:val="nil"/>
              <w:right w:color="000000" w:sz="6" w:val="single"/>
            </w:tcBorders>
          </w:tcPr>
          <w:p/>
        </w:tc>
        <w:tc>
          <w:tcPr>
            <w:tcW w:type="dxa" w:w="2262"/>
            <w:gridSpan w:val="1"/>
            <w:vMerge w:val="continue"/>
            <w:tcBorders>
              <w:top w:color="000000" w:sz="6" w:val="single"/>
              <w:left w:color="000000" w:sz="6" w:val="single"/>
              <w:bottom w:color="000000" w:val="nil"/>
              <w:right w:color="000000" w:sz="6" w:val="single"/>
            </w:tcBorders>
            <w:vAlign w:val="center"/>
          </w:tcPr>
          <w:p/>
        </w:tc>
        <w:tc>
          <w:tcPr>
            <w:tcW w:type="dxa" w:w="625"/>
            <w:gridSpan w:val="1"/>
            <w:vMerge w:val="continue"/>
            <w:tcBorders>
              <w:top w:color="000000" w:sz="6" w:val="single"/>
              <w:left w:color="000000" w:sz="6" w:val="single"/>
              <w:bottom w:color="000000" w:val="nil"/>
              <w:right w:color="000000" w:sz="6" w:val="single"/>
            </w:tcBorders>
            <w:vAlign w:val="center"/>
          </w:tcPr>
          <w:p/>
        </w:tc>
        <w:tc>
          <w:tcPr>
            <w:tcW w:type="dxa" w:w="648"/>
            <w:gridSpan w:val="1"/>
            <w:vMerge w:val="continue"/>
            <w:tcBorders>
              <w:top w:color="000000" w:sz="6" w:val="single"/>
              <w:left w:color="000000" w:val="nil"/>
              <w:bottom w:color="000000" w:val="nil"/>
              <w:right w:color="000000" w:sz="6" w:val="single"/>
            </w:tcBorders>
            <w:vAlign w:val="center"/>
          </w:tcPr>
          <w:p/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shd w:fill="FFFF00" w:val="clear"/>
            <w:vAlign w:val="center"/>
          </w:tcPr>
          <w:p w14:paraId="21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Коммерческое предложение вх.№59 от 19.06.2025</w:t>
            </w:r>
          </w:p>
        </w:tc>
        <w:tc>
          <w:tcPr>
            <w:tcW w:type="dxa" w:w="1466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shd w:fill="FFFF00" w:val="clear"/>
            <w:vAlign w:val="center"/>
          </w:tcPr>
          <w:p w14:paraId="22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0"/>
              </w:rPr>
            </w:pPr>
            <w:r>
              <w:rPr>
                <w:rFonts w:ascii="Times New Roman" w:hAnsi="Times New Roman"/>
                <w:color w:themeColor="dark1" w:val="000000"/>
                <w:sz w:val="20"/>
              </w:rPr>
              <w:t>Коммерческое предложение вх.№60 от 19.06.2025</w:t>
            </w:r>
          </w:p>
        </w:tc>
        <w:tc>
          <w:tcPr>
            <w:tcW w:type="dxa" w:w="1318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shd w:fill="FFFF00" w:val="clear"/>
            <w:vAlign w:val="center"/>
          </w:tcPr>
          <w:p w14:paraId="23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0"/>
              </w:rPr>
            </w:pPr>
            <w:r>
              <w:rPr>
                <w:rFonts w:ascii="Times New Roman" w:hAnsi="Times New Roman"/>
                <w:color w:themeColor="dark1" w:val="000000"/>
                <w:sz w:val="20"/>
              </w:rPr>
              <w:t>Коммерческое предложение вх№61 от 19.06.2025</w:t>
            </w:r>
          </w:p>
        </w:tc>
        <w:tc>
          <w:tcPr>
            <w:tcW w:type="dxa" w:w="1114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193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41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193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546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</w:tr>
      <w:tr>
        <w:trPr>
          <w:trHeight w:hRule="exact" w:val="81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24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25000000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Ручка шариковая автоматическая, синяя</w:t>
            </w:r>
          </w:p>
          <w:p w14:paraId="26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8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2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A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40,44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B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37,10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37,51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2,74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37,51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750,20</w:t>
            </w:r>
          </w:p>
        </w:tc>
      </w:tr>
      <w:tr>
        <w:trPr>
          <w:trHeight w:hRule="exact" w:val="114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31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2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Маркер перманентный черный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4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3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6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73,95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7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67,84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68,60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68,60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411,60</w:t>
            </w:r>
          </w:p>
        </w:tc>
      </w:tr>
      <w:tr>
        <w:trPr>
          <w:trHeight w:hRule="exact" w:val="81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3D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E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Фломастеры, набор 12 цветов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0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4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155,00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2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179,09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3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164,30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166,13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12,15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166,13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2491,95</w:t>
            </w:r>
          </w:p>
        </w:tc>
      </w:tr>
      <w:tr>
        <w:trPr>
          <w:trHeight w:hRule="exact" w:val="102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49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A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Карандаш чернографитный, с ластиком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C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4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E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68,17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F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62,54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63,24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4,62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63,24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1897,20</w:t>
            </w:r>
          </w:p>
        </w:tc>
      </w:tr>
      <w:tr>
        <w:trPr>
          <w:trHeight w:hRule="exact" w:val="1185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55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56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Карандаши цветные, набор 18 цветов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8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5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195,00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A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225,30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B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206,70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209,00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15,28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209,00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6270,00</w:t>
            </w:r>
          </w:p>
        </w:tc>
      </w:tr>
      <w:tr>
        <w:trPr>
          <w:trHeight w:hRule="exact" w:val="132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61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62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Карандаш чернографитный с ластиком, набор 12 штук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4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6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169,00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6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195,26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7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179,14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181,13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9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13,24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181,13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2716,95</w:t>
            </w:r>
          </w:p>
        </w:tc>
      </w:tr>
      <w:tr>
        <w:trPr>
          <w:trHeight w:hRule="exact" w:val="117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6D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6E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Карандаши цветные пластиковые, набор 12 цветов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0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7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112,00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129,40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3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118,72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120,04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5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8,77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6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7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120,04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3601,20</w:t>
            </w:r>
          </w:p>
        </w:tc>
      </w:tr>
      <w:tr>
        <w:trPr>
          <w:trHeight w:hRule="exact" w:val="810"/>
        </w:trPr>
        <w:tc>
          <w:tcPr>
            <w:tcW w:type="dxa" w:w="500"/>
            <w:tcBorders>
              <w:top w:color="000000" w:sz="6" w:val="single"/>
              <w:left w:color="000000" w:sz="6" w:val="single"/>
              <w:bottom w:color="000000" w:sz="6" w:val="single"/>
              <w:right w:color="000000" w:val="nil"/>
            </w:tcBorders>
            <w:vAlign w:val="center"/>
          </w:tcPr>
          <w:p w14:paraId="79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type="dxa" w:w="226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7A0000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Карандаши цветные, набор 48 цветов</w:t>
            </w:r>
          </w:p>
        </w:tc>
        <w:tc>
          <w:tcPr>
            <w:tcW w:type="dxa" w:w="6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</w:t>
            </w:r>
          </w:p>
        </w:tc>
        <w:tc>
          <w:tcPr>
            <w:tcW w:type="dxa" w:w="6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type="dxa" w:w="1364"/>
            <w:tcBorders>
              <w:top w:color="000000" w:sz="6" w:val="single"/>
              <w:left w:color="000000" w:val="nil"/>
              <w:bottom w:color="000000" w:sz="6" w:val="single"/>
              <w:right w:color="000000" w:sz="6" w:val="single"/>
            </w:tcBorders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783,00</w:t>
            </w:r>
          </w:p>
        </w:tc>
        <w:tc>
          <w:tcPr>
            <w:tcW w:type="dxa" w:w="146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904,68</w:t>
            </w: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829,98</w:t>
            </w:r>
          </w:p>
        </w:tc>
        <w:tc>
          <w:tcPr>
            <w:tcW w:type="dxa" w:w="11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839,22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61,36</w:t>
            </w:r>
          </w:p>
        </w:tc>
        <w:tc>
          <w:tcPr>
            <w:tcW w:type="dxa" w:w="13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7,31</w:t>
            </w:r>
          </w:p>
        </w:tc>
        <w:tc>
          <w:tcPr>
            <w:tcW w:type="dxa" w:w="119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839,22</w:t>
            </w:r>
          </w:p>
        </w:tc>
        <w:tc>
          <w:tcPr>
            <w:tcW w:type="dxa" w:w="154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12588,30</w:t>
            </w:r>
          </w:p>
        </w:tc>
      </w:tr>
      <w:tr>
        <w:trPr>
          <w:trHeight w:hRule="exact" w:val="315"/>
        </w:trPr>
        <w:tc>
          <w:tcPr>
            <w:tcW w:type="dxa" w:w="13024"/>
            <w:gridSpan w:val="1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85000000">
            <w:pPr>
              <w:ind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Начальная (максимальная) цена контракта</w:t>
            </w:r>
          </w:p>
        </w:tc>
        <w:tc>
          <w:tcPr>
            <w:tcW w:type="dxa" w:w="1546"/>
            <w:tcBorders>
              <w:top w:color="000000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30 727,40</w:t>
            </w:r>
          </w:p>
        </w:tc>
      </w:tr>
      <w:tr>
        <w:trPr>
          <w:trHeight w:hRule="exact" w:val="945"/>
        </w:trPr>
        <w:tc>
          <w:tcPr>
            <w:tcW w:type="dxa" w:w="14570"/>
            <w:gridSpan w:val="12"/>
            <w:shd w:themeFill="light1" w:val="clear"/>
            <w:vAlign w:val="top"/>
          </w:tcPr>
          <w:p w14:paraId="87000000">
            <w:pPr>
              <w:ind/>
              <w:jc w:val="both"/>
              <w:rPr>
                <w:rFonts w:ascii="Times New Roman" w:hAnsi="Times New Roman"/>
                <w:color w:themeColor="dark1" w:val="000000"/>
                <w:sz w:val="24"/>
              </w:rPr>
            </w:pPr>
            <w:r>
              <w:rPr>
                <w:rFonts w:ascii="Times New Roman" w:hAnsi="Times New Roman"/>
                <w:color w:themeColor="dark1" w:val="000000"/>
                <w:sz w:val="24"/>
              </w:rPr>
              <w:t>В цену входят следующие затраты: все расходы Исполнителя, необходимые для осуществления им своих обязательств по Контракту в полном объеме и надлежащего качества, в том числе все подлежащие к уплате налоги, сборы и другие обязательные платежи, а также иные расходы, связанные с оказанием услуг.</w:t>
            </w:r>
          </w:p>
        </w:tc>
      </w:tr>
    </w:tbl>
    <w:p w14:paraId="88000000">
      <w:pPr>
        <w:widowControl w:val="0"/>
        <w:tabs>
          <w:tab w:leader="none" w:pos="5571" w:val="left"/>
        </w:tabs>
        <w:ind/>
        <w:jc w:val="both"/>
        <w:rPr>
          <w:sz w:val="20"/>
        </w:rPr>
      </w:pPr>
    </w:p>
    <w:p w14:paraId="89000000">
      <w:pPr>
        <w:widowControl w:val="0"/>
        <w:ind w:firstLine="709" w:left="0"/>
        <w:jc w:val="both"/>
        <w:rPr>
          <w:sz w:val="20"/>
        </w:rPr>
      </w:pPr>
    </w:p>
    <w:p w14:paraId="8A000000">
      <w:pPr>
        <w:widowControl w:val="0"/>
        <w:ind w:firstLine="709" w:left="0"/>
        <w:jc w:val="both"/>
        <w:rPr>
          <w:sz w:val="20"/>
        </w:rPr>
      </w:pPr>
    </w:p>
    <w:p w14:paraId="8B000000">
      <w:pPr>
        <w:widowControl w:val="0"/>
        <w:ind w:firstLine="709" w:left="0"/>
        <w:jc w:val="both"/>
        <w:rPr>
          <w:sz w:val="20"/>
        </w:rPr>
      </w:pPr>
    </w:p>
    <w:p w14:paraId="8C000000">
      <w:pPr>
        <w:widowControl w:val="0"/>
        <w:ind w:firstLine="709" w:left="0"/>
        <w:jc w:val="both"/>
        <w:rPr>
          <w:sz w:val="20"/>
        </w:rPr>
      </w:pPr>
    </w:p>
    <w:p w14:paraId="8D000000">
      <w:pPr>
        <w:widowControl w:val="0"/>
        <w:ind w:firstLine="709" w:left="0"/>
        <w:jc w:val="both"/>
        <w:rPr>
          <w:sz w:val="20"/>
        </w:rPr>
      </w:pPr>
      <w:r>
        <w:rPr>
          <w:sz w:val="20"/>
        </w:rPr>
        <w:t>В целях определения однородной совокупности значений выявленных цен, используемых в расчете НМЦК, определен коэффициент вариации:</w:t>
      </w:r>
    </w:p>
    <w:p w14:paraId="8E000000">
      <w:pPr>
        <w:widowControl w:val="0"/>
        <w:ind/>
        <w:rPr>
          <w:sz w:val="20"/>
        </w:rPr>
      </w:pPr>
    </w:p>
    <w:p w14:paraId="8F000000">
      <w:pPr>
        <w:widowControl w:val="0"/>
        <w:ind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V=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0"/>
                </w:rPr>
                <m:t>σ</m:t>
              </m:r>
            </m:num>
            <m:den>
              <m:r>
                <w:rPr>
                  <w:rFonts w:ascii="Cambria Math" w:hAnsi="Cambria Math"/>
                  <w:sz w:val="20"/>
                </w:rPr>
                <m:t>&lt;ц&gt;</m:t>
              </m:r>
            </m:den>
          </m:f>
          <m:r>
            <w:rPr>
              <w:rFonts w:ascii="Cambria Math" w:hAnsi="Cambria Math"/>
              <w:sz w:val="20"/>
            </w:rPr>
            <m:t>*100</m:t>
          </m:r>
        </m:oMath>
      </m:oMathPara>
      <w:r>
        <w:rPr>
          <w:sz w:val="20"/>
        </w:rPr>
        <w:t xml:space="preserve">,           где </w:t>
      </w:r>
      <w:r>
        <w:rPr>
          <w:i w:val="1"/>
          <w:sz w:val="20"/>
        </w:rPr>
        <w:t>V</w:t>
      </w:r>
      <w:r>
        <w:rPr>
          <w:sz w:val="20"/>
        </w:rPr>
        <w:t xml:space="preserve">– </w:t>
      </w:r>
      <w:r>
        <w:rPr>
          <w:sz w:val="20"/>
        </w:rPr>
        <w:t>коэффициент вариации цены.</w:t>
      </w:r>
    </w:p>
    <w:p w14:paraId="90000000">
      <w:pPr>
        <w:widowControl w:val="0"/>
        <w:ind/>
        <w:jc w:val="bot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σ=</m:t>
          </m:r>
          <m:rad>
            <m:radPr>
              <m:degHide m:val="off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grow m:val="on"/>
                      <m:subHide m:val="off"/>
                      <m:supHide m:val="off"/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</m:t>
                      </m:r>
                    </m:e>
                  </m:nary>
                  <m:r>
                    <w:rPr>
                      <w:rFonts w:ascii="Cambria Math" w:hAnsi="Cambria Math"/>
                      <w:sz w:val="20"/>
                    </w:rPr>
                    <m:rPr>
                      <m:sty m:val="p"/>
                    </m:rPr>
                    <m:t>ц</m:t>
                  </m:r>
                  <m:r>
                    <w:rPr>
                      <w:rFonts w:ascii="Cambria Math" w:hAnsi="Cambria Math"/>
                      <w:sz w:val="20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0"/>
                    </w:rPr>
                    <m:t>-&lt;ц&gt;</m:t>
                  </m:r>
                  <m:sSup>
                    <m:e>
                      <m:r>
                        <w:rPr>
                          <w:rFonts w:ascii="Cambria Math" w:hAnsi="Cambria Math"/>
                          <w:sz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n-1</m:t>
                  </m:r>
                </m:den>
              </m:f>
            </m:e>
          </m:rad>
        </m:oMath>
      </m:oMathPara>
      <w:r>
        <w:rPr>
          <w:sz w:val="20"/>
        </w:rPr>
        <w:t xml:space="preserve"> </w:t>
      </w:r>
      <w:r>
        <w:rPr>
          <w:sz w:val="20"/>
        </w:rPr>
        <w:t xml:space="preserve">,        где </w:t>
      </w:r>
      <w:r>
        <w:rPr>
          <w:sz w:val="20"/>
        </w:rPr>
        <w:t>σ</w:t>
      </w:r>
      <w:r>
        <w:rPr>
          <w:sz w:val="20"/>
        </w:rPr>
        <w:t xml:space="preserve"> – </w:t>
      </w:r>
      <w:r>
        <w:rPr>
          <w:sz w:val="20"/>
        </w:rPr>
        <w:t>среднее квадратичное отклонение;</w:t>
      </w:r>
    </w:p>
    <w:p w14:paraId="91000000">
      <w:pPr>
        <w:widowControl w:val="0"/>
        <w:ind/>
        <w:jc w:val="both"/>
        <w:rPr>
          <w:sz w:val="20"/>
        </w:rPr>
      </w:pPr>
      <w:r>
        <w:rPr>
          <w:i w:val="1"/>
          <w:sz w:val="20"/>
        </w:rPr>
        <w:t xml:space="preserve">                                               ц</w:t>
      </w:r>
      <w:r>
        <w:rPr>
          <w:i w:val="1"/>
          <w:sz w:val="20"/>
        </w:rPr>
        <w:t>i</w:t>
      </w:r>
      <w:r>
        <w:rPr>
          <w:i w:val="1"/>
          <w:sz w:val="20"/>
        </w:rPr>
        <w:t xml:space="preserve"> – </w:t>
      </w:r>
      <w:r>
        <w:rPr>
          <w:sz w:val="20"/>
        </w:rPr>
        <w:t xml:space="preserve">цена единицы товара, работы, услуги, указанная в источнике с номером </w:t>
      </w:r>
      <w:r>
        <w:rPr>
          <w:i w:val="1"/>
          <w:sz w:val="20"/>
        </w:rPr>
        <w:t>i</w:t>
      </w:r>
    </w:p>
    <w:p w14:paraId="92000000">
      <w:pPr>
        <w:widowControl w:val="0"/>
        <w:ind/>
        <w:jc w:val="both"/>
        <w:rPr>
          <w:sz w:val="20"/>
        </w:rPr>
      </w:pPr>
      <w:r>
        <w:rPr>
          <w:i w:val="1"/>
          <w:sz w:val="20"/>
        </w:rPr>
        <w:t xml:space="preserve">                                              &lt;ц&gt; – </w:t>
      </w:r>
      <w:r>
        <w:rPr>
          <w:sz w:val="20"/>
        </w:rPr>
        <w:t>средняя арифметическая величина цены единицы товара, работы, услуги;</w:t>
      </w:r>
    </w:p>
    <w:p w14:paraId="93000000">
      <w:pPr>
        <w:widowControl w:val="0"/>
        <w:ind w:firstLine="709" w:left="0"/>
        <w:jc w:val="both"/>
        <w:rPr>
          <w:sz w:val="20"/>
        </w:rPr>
      </w:pPr>
      <w:r>
        <w:rPr>
          <w:i w:val="1"/>
          <w:sz w:val="20"/>
        </w:rPr>
        <w:t xml:space="preserve">                         </w:t>
      </w:r>
      <w:r>
        <w:rPr>
          <w:i w:val="1"/>
          <w:sz w:val="20"/>
        </w:rPr>
        <w:t>n</w:t>
      </w:r>
      <w:r>
        <w:rPr>
          <w:i w:val="1"/>
          <w:sz w:val="20"/>
        </w:rPr>
        <w:t xml:space="preserve"> – </w:t>
      </w:r>
      <w:r>
        <w:rPr>
          <w:sz w:val="20"/>
        </w:rPr>
        <w:t>количество значений, используемых в расчете</w:t>
      </w:r>
    </w:p>
    <w:p w14:paraId="94000000">
      <w:pPr>
        <w:widowControl w:val="0"/>
        <w:ind w:firstLine="709" w:left="0"/>
        <w:jc w:val="both"/>
        <w:rPr>
          <w:sz w:val="20"/>
        </w:rPr>
      </w:pPr>
    </w:p>
    <w:p w14:paraId="95000000">
      <w:pPr>
        <w:widowControl w:val="0"/>
        <w:ind w:firstLine="709" w:left="0"/>
        <w:jc w:val="both"/>
        <w:rPr>
          <w:sz w:val="20"/>
        </w:rPr>
      </w:pPr>
    </w:p>
    <w:p w14:paraId="96000000">
      <w:pPr>
        <w:widowControl w:val="0"/>
        <w:ind w:firstLine="709" w:left="0"/>
        <w:jc w:val="both"/>
        <w:rPr>
          <w:sz w:val="20"/>
        </w:rPr>
      </w:pPr>
    </w:p>
    <w:p w14:paraId="97000000">
      <w:pPr>
        <w:widowControl w:val="0"/>
        <w:ind w:firstLine="709" w:left="0"/>
        <w:jc w:val="both"/>
        <w:rPr>
          <w:sz w:val="20"/>
        </w:rPr>
      </w:pPr>
    </w:p>
    <w:p w14:paraId="98000000">
      <w:pPr>
        <w:widowControl w:val="0"/>
        <w:ind w:firstLine="709" w:left="0"/>
        <w:jc w:val="both"/>
        <w:rPr>
          <w:sz w:val="20"/>
        </w:rPr>
      </w:pPr>
    </w:p>
    <w:p w14:paraId="99000000">
      <w:pPr>
        <w:widowControl w:val="0"/>
        <w:ind w:firstLine="709" w:left="0"/>
        <w:jc w:val="both"/>
        <w:rPr>
          <w:sz w:val="20"/>
        </w:rPr>
      </w:pPr>
    </w:p>
    <w:p w14:paraId="9A000000">
      <w:pPr>
        <w:widowControl w:val="0"/>
        <w:ind w:firstLine="709" w:left="0"/>
        <w:jc w:val="both"/>
        <w:rPr>
          <w:sz w:val="20"/>
        </w:rPr>
      </w:pPr>
      <w:r>
        <w:rPr>
          <w:sz w:val="20"/>
        </w:rPr>
        <w:t>Коэффициент вариации цены согласно расчетам, приведенным в таблице, не превышает 33 %, услугу принято считать однородной, проведение дополнительного исследования не требуется.</w:t>
      </w:r>
    </w:p>
    <w:p w14:paraId="9B000000">
      <w:pPr>
        <w:widowControl w:val="0"/>
        <w:ind w:firstLine="709" w:left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Согласно пункту 3.21 части III Методических рекомендаций НМЦК методом сопоставимых рыночных цен (анализа рынка) определяется по следующей формуле:</w:t>
      </w:r>
    </w:p>
    <w:p w14:paraId="9C000000">
      <w:pPr>
        <w:widowControl w:val="0"/>
        <w:ind/>
        <w:jc w:val="both"/>
        <w:rPr>
          <w:sz w:val="20"/>
        </w:rPr>
      </w:pPr>
      <w:r>
        <w:rPr>
          <w:sz w:val="20"/>
        </w:rPr>
        <w:t>*****</w:t>
      </w:r>
    </w:p>
    <w:p w14:paraId="9D000000">
      <w:pPr>
        <w:widowControl w:val="0"/>
        <w:ind/>
        <w:jc w:val="both"/>
        <w:rPr>
          <w:sz w:val="20"/>
        </w:rPr>
      </w:pPr>
      <w:r>
        <w:rPr>
          <w:sz w:val="20"/>
        </w:rPr>
        <w:drawing>
          <wp:inline>
            <wp:extent cx="1628775" cy="37147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628775" cy="371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>,    где:</w:t>
      </w:r>
    </w:p>
    <w:p w14:paraId="9E000000">
      <w:pPr>
        <w:widowControl w:val="0"/>
        <w:ind/>
        <w:jc w:val="both"/>
        <w:rPr>
          <w:sz w:val="20"/>
        </w:rPr>
      </w:pPr>
      <w:r>
        <w:rPr>
          <w:sz w:val="20"/>
        </w:rPr>
        <w:drawing>
          <wp:inline>
            <wp:extent cx="676275" cy="2286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676275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- НМЦК, определяемая методом сопоставимых рыночных цен (анализа рынка);</w:t>
      </w:r>
    </w:p>
    <w:p w14:paraId="9F000000">
      <w:pPr>
        <w:widowControl w:val="0"/>
        <w:ind/>
        <w:jc w:val="both"/>
        <w:rPr>
          <w:sz w:val="20"/>
        </w:rPr>
      </w:pPr>
      <w:r>
        <w:rPr>
          <w:sz w:val="20"/>
        </w:rPr>
        <w:t>v - количество (объем) закупаемого товара (работы, услуги);</w:t>
      </w:r>
    </w:p>
    <w:p w14:paraId="A0000000">
      <w:pPr>
        <w:widowControl w:val="0"/>
        <w:ind/>
        <w:jc w:val="both"/>
        <w:rPr>
          <w:sz w:val="20"/>
        </w:rPr>
      </w:pPr>
      <w:r>
        <w:rPr>
          <w:sz w:val="20"/>
        </w:rPr>
        <w:t xml:space="preserve">n - количество значений, используемых в </w:t>
      </w:r>
      <w:r>
        <w:rPr>
          <w:sz w:val="20"/>
        </w:rPr>
        <w:t>расчете;i</w:t>
      </w:r>
      <w:r>
        <w:rPr>
          <w:sz w:val="20"/>
        </w:rPr>
        <w:t xml:space="preserve"> - номер источника ценовой информации;</w:t>
      </w:r>
      <w:r>
        <w:rPr>
          <w:sz w:val="20"/>
        </w:rPr>
        <w:drawing>
          <wp:inline>
            <wp:extent cx="152400" cy="2286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152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-  цена единицы товара, работы, услуги, представленная в источнике с номером i.</w:t>
      </w:r>
    </w:p>
    <w:p w14:paraId="A1000000">
      <w:pPr>
        <w:rPr>
          <w:sz w:val="20"/>
        </w:rPr>
      </w:pPr>
      <w:r>
        <w:rPr>
          <w:sz w:val="20"/>
        </w:rPr>
        <w:t xml:space="preserve">Валюта, используемая для формирования цены контракта и расчетов с </w:t>
      </w:r>
      <w:r>
        <w:rPr>
          <w:sz w:val="20"/>
        </w:rPr>
        <w:t>поставщиками (исполнителями, подрядчиками), - рубль Российской Федерации.</w:t>
      </w:r>
    </w:p>
    <w:sectPr>
      <w:pgSz w:h="11906" w:orient="landscape" w:w="16838"/>
      <w:pgMar w:bottom="851" w:footer="0" w:gutter="0" w:header="0" w:left="1134" w:right="1134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1_ch" w:type="character">
    <w:name w:val="Normal"/>
    <w:link w:val="Style_1"/>
    <w:rPr>
      <w:rFonts w:ascii="Times New Roman" w:hAnsi="Times New Roman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xl73"/>
    <w:basedOn w:val="Style_1"/>
    <w:link w:val="Style_4_ch"/>
    <w:pPr>
      <w:spacing w:afterAutospacing="on" w:beforeAutospacing="on"/>
      <w:ind/>
      <w:jc w:val="center"/>
    </w:pPr>
    <w:rPr>
      <w:color w:val="000000"/>
    </w:rPr>
  </w:style>
  <w:style w:styleId="Style_4_ch" w:type="character">
    <w:name w:val="xl73"/>
    <w:basedOn w:val="Style_1_ch"/>
    <w:link w:val="Style_4"/>
    <w:rPr>
      <w:color w:val="000000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xl70"/>
    <w:basedOn w:val="Style_1"/>
    <w:link w:val="Style_7_ch"/>
    <w:pPr>
      <w:spacing w:afterAutospacing="on" w:beforeAutospacing="on"/>
      <w:ind/>
      <w:jc w:val="center"/>
    </w:pPr>
    <w:rPr>
      <w:color w:val="000000"/>
    </w:rPr>
  </w:style>
  <w:style w:styleId="Style_7_ch" w:type="character">
    <w:name w:val="xl70"/>
    <w:basedOn w:val="Style_1_ch"/>
    <w:link w:val="Style_7"/>
    <w:rPr>
      <w:color w:val="000000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1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xl65"/>
    <w:basedOn w:val="Style_1"/>
    <w:link w:val="Style_10_ch"/>
    <w:pPr>
      <w:spacing w:afterAutospacing="on" w:beforeAutospacing="on"/>
      <w:ind/>
      <w:jc w:val="center"/>
    </w:pPr>
    <w:rPr>
      <w:color w:val="000000"/>
    </w:rPr>
  </w:style>
  <w:style w:styleId="Style_10_ch" w:type="character">
    <w:name w:val="xl65"/>
    <w:basedOn w:val="Style_1_ch"/>
    <w:link w:val="Style_10"/>
    <w:rPr>
      <w:color w:val="000000"/>
    </w:rPr>
  </w:style>
  <w:style w:styleId="Style_11" w:type="paragraph">
    <w:name w:val="xl68"/>
    <w:basedOn w:val="Style_1"/>
    <w:link w:val="Style_11_ch"/>
    <w:pPr>
      <w:spacing w:afterAutospacing="on" w:beforeAutospacing="on"/>
      <w:ind/>
      <w:jc w:val="center"/>
    </w:pPr>
  </w:style>
  <w:style w:styleId="Style_11_ch" w:type="character">
    <w:name w:val="xl68"/>
    <w:basedOn w:val="Style_1_ch"/>
    <w:link w:val="Style_11"/>
  </w:style>
  <w:style w:styleId="Style_12" w:type="paragraph">
    <w:name w:val="Balloon Text"/>
    <w:basedOn w:val="Style_1"/>
    <w:link w:val="Style_12_ch"/>
    <w:rPr>
      <w:rFonts w:ascii="Tahoma" w:hAnsi="Tahoma"/>
      <w:sz w:val="16"/>
    </w:rPr>
  </w:style>
  <w:style w:styleId="Style_12_ch" w:type="character">
    <w:name w:val="Balloon Text"/>
    <w:basedOn w:val="Style_1_ch"/>
    <w:link w:val="Style_12"/>
    <w:rPr>
      <w:rFonts w:ascii="Tahoma" w:hAnsi="Tahoma"/>
      <w:sz w:val="16"/>
    </w:rPr>
  </w:style>
  <w:style w:styleId="Style_13" w:type="paragraph">
    <w:name w:val="ConsPlusNormal"/>
    <w:link w:val="Style_13_ch"/>
    <w:pPr>
      <w:widowControl w:val="0"/>
      <w:spacing w:after="0" w:line="240" w:lineRule="auto"/>
      <w:ind w:firstLine="720" w:left="0"/>
    </w:pPr>
    <w:rPr>
      <w:rFonts w:ascii="Arial" w:hAnsi="Arial"/>
      <w:sz w:val="20"/>
    </w:rPr>
  </w:style>
  <w:style w:styleId="Style_13_ch" w:type="character">
    <w:name w:val="ConsPlusNormal"/>
    <w:link w:val="Style_13"/>
    <w:rPr>
      <w:rFonts w:ascii="Arial" w:hAnsi="Arial"/>
      <w:sz w:val="20"/>
    </w:rPr>
  </w:style>
  <w:style w:styleId="Style_14" w:type="paragraph">
    <w:name w:val="toc 3"/>
    <w:next w:val="Style_1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FollowedHyperlink"/>
    <w:basedOn w:val="Style_16"/>
    <w:link w:val="Style_15_ch"/>
    <w:rPr>
      <w:color w:val="800080"/>
      <w:u w:val="single"/>
    </w:rPr>
  </w:style>
  <w:style w:styleId="Style_15_ch" w:type="character">
    <w:name w:val="FollowedHyperlink"/>
    <w:basedOn w:val="Style_16_ch"/>
    <w:link w:val="Style_15"/>
    <w:rPr>
      <w:color w:val="800080"/>
      <w:u w:val="single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heading 5"/>
    <w:next w:val="Style_1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next w:val="Style_1"/>
    <w:link w:val="Style_18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8_ch" w:type="character">
    <w:name w:val="heading 1"/>
    <w:link w:val="Style_18"/>
    <w:rPr>
      <w:rFonts w:ascii="XO Thames" w:hAnsi="XO Thames"/>
      <w:b w:val="1"/>
      <w:sz w:val="32"/>
    </w:rPr>
  </w:style>
  <w:style w:styleId="Style_19" w:type="paragraph">
    <w:name w:val="xl74"/>
    <w:basedOn w:val="Style_1"/>
    <w:link w:val="Style_19_ch"/>
    <w:pPr>
      <w:spacing w:afterAutospacing="on" w:beforeAutospacing="on"/>
      <w:ind/>
      <w:jc w:val="center"/>
    </w:pPr>
  </w:style>
  <w:style w:styleId="Style_19_ch" w:type="character">
    <w:name w:val="xl74"/>
    <w:basedOn w:val="Style_1_ch"/>
    <w:link w:val="Style_19"/>
  </w:style>
  <w:style w:styleId="Style_20" w:type="paragraph">
    <w:name w:val="Hyperlink"/>
    <w:basedOn w:val="Style_16"/>
    <w:link w:val="Style_20_ch"/>
    <w:rPr>
      <w:color w:val="0000FF"/>
      <w:u w:val="single"/>
    </w:rPr>
  </w:style>
  <w:style w:styleId="Style_20_ch" w:type="character">
    <w:name w:val="Hyperlink"/>
    <w:basedOn w:val="Style_16_ch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22" w:type="paragraph">
    <w:name w:val="toc 1"/>
    <w:next w:val="Style_1"/>
    <w:link w:val="Style_2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"/>
    <w:basedOn w:val="Style_1"/>
    <w:link w:val="Style_23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3_ch" w:type="character">
    <w:name w:val="header"/>
    <w:basedOn w:val="Style_1_ch"/>
    <w:link w:val="Style_23"/>
    <w:rPr>
      <w:rFonts w:asciiTheme="minorAscii" w:hAnsiTheme="minorHAnsi"/>
      <w:sz w:val="22"/>
    </w:rPr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footer"/>
    <w:basedOn w:val="Style_1"/>
    <w:link w:val="Style_25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5_ch" w:type="character">
    <w:name w:val="footer"/>
    <w:basedOn w:val="Style_1_ch"/>
    <w:link w:val="Style_25"/>
    <w:rPr>
      <w:rFonts w:asciiTheme="minorAscii" w:hAnsiTheme="minorHAnsi"/>
      <w:sz w:val="22"/>
    </w:rPr>
  </w:style>
  <w:style w:styleId="Style_26" w:type="paragraph">
    <w:name w:val="toc 9"/>
    <w:next w:val="Style_1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xl71"/>
    <w:basedOn w:val="Style_1"/>
    <w:link w:val="Style_27_ch"/>
    <w:pPr>
      <w:spacing w:afterAutospacing="on" w:beforeAutospacing="on"/>
      <w:ind/>
      <w:jc w:val="center"/>
    </w:pPr>
    <w:rPr>
      <w:color w:val="000000"/>
    </w:rPr>
  </w:style>
  <w:style w:styleId="Style_27_ch" w:type="character">
    <w:name w:val="xl71"/>
    <w:basedOn w:val="Style_1_ch"/>
    <w:link w:val="Style_27"/>
    <w:rPr>
      <w:color w:val="000000"/>
    </w:rPr>
  </w:style>
  <w:style w:styleId="Style_28" w:type="paragraph">
    <w:name w:val="xl72"/>
    <w:basedOn w:val="Style_1"/>
    <w:link w:val="Style_28_ch"/>
    <w:pPr>
      <w:spacing w:afterAutospacing="on" w:beforeAutospacing="on"/>
      <w:ind/>
      <w:jc w:val="center"/>
    </w:pPr>
  </w:style>
  <w:style w:styleId="Style_28_ch" w:type="character">
    <w:name w:val="xl72"/>
    <w:basedOn w:val="Style_1_ch"/>
    <w:link w:val="Style_28"/>
  </w:style>
  <w:style w:styleId="Style_29" w:type="paragraph">
    <w:name w:val="toc 8"/>
    <w:next w:val="Style_1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xl67"/>
    <w:basedOn w:val="Style_1"/>
    <w:link w:val="Style_30_ch"/>
    <w:pPr>
      <w:spacing w:afterAutospacing="on" w:beforeAutospacing="on"/>
      <w:ind/>
      <w:jc w:val="center"/>
    </w:pPr>
    <w:rPr>
      <w:color w:val="000000"/>
    </w:rPr>
  </w:style>
  <w:style w:styleId="Style_30_ch" w:type="character">
    <w:name w:val="xl67"/>
    <w:basedOn w:val="Style_1_ch"/>
    <w:link w:val="Style_30"/>
    <w:rPr>
      <w:color w:val="000000"/>
    </w:rPr>
  </w:style>
  <w:style w:styleId="Style_31" w:type="paragraph">
    <w:name w:val="toc 5"/>
    <w:next w:val="Style_1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32" w:type="paragraph">
    <w:name w:val="xl66"/>
    <w:basedOn w:val="Style_1"/>
    <w:link w:val="Style_32_ch"/>
    <w:pPr>
      <w:spacing w:afterAutospacing="on" w:beforeAutospacing="on"/>
      <w:ind/>
      <w:jc w:val="center"/>
    </w:pPr>
    <w:rPr>
      <w:color w:val="000000"/>
    </w:rPr>
  </w:style>
  <w:style w:styleId="Style_32_ch" w:type="character">
    <w:name w:val="xl66"/>
    <w:basedOn w:val="Style_1_ch"/>
    <w:link w:val="Style_32"/>
    <w:rPr>
      <w:color w:val="000000"/>
    </w:rPr>
  </w:style>
  <w:style w:styleId="Style_33" w:type="paragraph">
    <w:name w:val="xl69"/>
    <w:basedOn w:val="Style_1"/>
    <w:link w:val="Style_33_ch"/>
    <w:pPr>
      <w:spacing w:afterAutospacing="on" w:beforeAutospacing="on"/>
      <w:ind/>
      <w:jc w:val="center"/>
    </w:pPr>
  </w:style>
  <w:style w:styleId="Style_33_ch" w:type="character">
    <w:name w:val="xl69"/>
    <w:basedOn w:val="Style_1_ch"/>
    <w:link w:val="Style_33"/>
  </w:style>
  <w:style w:styleId="Style_34" w:type="paragraph">
    <w:name w:val="Subtitle"/>
    <w:next w:val="Style_1"/>
    <w:link w:val="Style_3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4_ch" w:type="character">
    <w:name w:val="Subtitle"/>
    <w:link w:val="Style_34"/>
    <w:rPr>
      <w:rFonts w:ascii="XO Thames" w:hAnsi="XO Thames"/>
      <w:i w:val="1"/>
      <w:sz w:val="24"/>
    </w:rPr>
  </w:style>
  <w:style w:styleId="Style_35" w:type="paragraph">
    <w:name w:val="Title"/>
    <w:next w:val="Style_1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next w:val="Style_1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ing 2"/>
    <w:next w:val="Style_1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styleId="Style_38" w:type="table">
    <w:name w:val="Table Grid"/>
    <w:basedOn w:val="Style_39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3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media/1.wmf" Type="http://schemas.openxmlformats.org/officeDocument/2006/relationships/image"/>
  <Relationship Id="rId2" Target="media/2.wmf" Type="http://schemas.openxmlformats.org/officeDocument/2006/relationships/image"/>
  <Relationship Id="rId3" Target="media/3.wmf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2025-07-03T07:16:54Z</dcterms:modified>
</cp:coreProperties>
</file>