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b/>
          <w:color w:val="4F46E5"/>
          <w:sz w:val="48"/>
        </w:rPr>
        <w:t>AssessIQ: Multi-Tenant Online MCQ Assessment Platform</w:t>
      </w:r>
    </w:p>
    <w:p>
      <w:pPr>
        <w:spacing w:after="320"/>
        <w:jc w:val="center"/>
      </w:pPr>
      <w:r>
        <w:rPr>
          <w:rFonts w:ascii="Arial" w:hAnsi="Arial"/>
          <w:color w:val="64748B"/>
          <w:sz w:val="24"/>
        </w:rPr>
        <w:t>Executive Management Guide: Functional Architecture, Registration vs. Login Flow &amp; Technical Blueprint</w:t>
      </w:r>
    </w:p>
    <w:p>
      <w:pPr>
        <w:spacing w:after="400"/>
        <w:jc w:val="center"/>
      </w:pPr>
      <w:r>
        <w:rPr>
          <w:i/>
          <w:color w:val="64748B"/>
          <w:sz w:val="19"/>
        </w:rPr>
        <w:t>Confidential Project Document | Prepared for Senior Leadership &amp; Engineering Managers</w:t>
      </w:r>
    </w:p>
    <w:p>
      <w:pPr>
        <w:spacing w:after="120"/>
      </w:pPr>
    </w:p>
    <w:p>
      <w:pPr>
        <w:pStyle w:val="Heading1"/>
        <w:spacing w:before="360" w:after="160"/>
      </w:pPr>
      <w:r>
        <w:rPr>
          <w:rFonts w:ascii="Arial" w:hAnsi="Arial"/>
          <w:b/>
          <w:color w:val="4F46E5"/>
          <w:sz w:val="32"/>
        </w:rPr>
        <w:t>1. Executive Summary &amp; Problem-Solution Overview</w:t>
      </w:r>
    </w:p>
    <w:p>
      <w:pPr>
        <w:spacing w:after="200" w:line="276" w:lineRule="auto"/>
      </w:pPr>
      <w:r>
        <w:t>AssessIQ is a modern, enterprise-grade, multi-tenant Software-as-a-Service (SaaS) examination platform. It solves a pervasive operational challenge across universities, colleges, coaching institutes, and enterprise training teams: the absence of a unified, scalable, anti-cheating evaluation platform that can serve multiple distinct institutions from a single secure cloud deployment.</w:t>
        <w:br/>
        <w:br/>
        <w:t>Rather than each school building or licensing individual disconnected software installations, AssessIQ delivers a multi-tenant cloud architecture where every institution operates in its own isolated private workspace with dedicated student rosters, faculty test authors, department-level questions, and real-time performance analytics.</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pPr>
            <w:r>
              <w:rPr>
                <w:b/>
                <w:color w:val="4F46E5"/>
              </w:rPr>
              <w:t>Key Business &amp; Technical Pillars:</w:t>
              <w:br/>
            </w:r>
            <w:r>
              <w:t>• 100% Multi-Tenant Isolation: Every college's students, question banks, and grades are strictly quarantined.</w:t>
              <w:br/>
              <w:t>• Anti-Cheating Timer Engine: Strict server-side countdown timers with automated submission on timeout.</w:t>
              <w:br/>
              <w:t>• Real-Time Server-Side Grading: Instant scoring with positive marks, negative penalty scoring, and percentage thresholds.</w:t>
              <w:br/>
              <w:t>• Dual Catalog Architecture: Supports both private internal organization tests and publicly discoverable skill certifications.</w:t>
              <w:br/>
              <w:t>• SaaS Monetization Model: Flexible multi-tier subscription quotas (Free, Starter, Pro, Enterprise) for institutional billing.</w:t>
            </w:r>
          </w:p>
        </w:tc>
      </w:tr>
    </w:tbl>
    <w:p>
      <w:pPr>
        <w:spacing w:after="200"/>
      </w:pPr>
    </w:p>
    <w:p>
      <w:pPr>
        <w:pStyle w:val="Heading1"/>
        <w:spacing w:before="360" w:after="160"/>
      </w:pPr>
      <w:r>
        <w:rPr>
          <w:rFonts w:ascii="Arial" w:hAnsi="Arial"/>
          <w:b/>
          <w:color w:val="4F46E5"/>
          <w:sz w:val="32"/>
        </w:rPr>
        <w:t>2. Registration vs. Login Architecture: The Complete User Flow</w:t>
      </w:r>
    </w:p>
    <w:p>
      <w:pPr>
        <w:spacing w:after="160" w:line="276" w:lineRule="auto"/>
      </w:pPr>
      <w:r>
        <w:t>A common point of inquiry when reviewing the platform is:</w:t>
        <w:br/>
        <w:t>"Why are there 3 categories on the Register page (Student, Creator, Org Admin), while the Login page lists 5 roles (Student, Org Admin, Teacher, Creator, Super Admin)?"</w:t>
        <w:br/>
        <w:br/>
        <w:t>The reason lies in Enterprise Security and Institutional Hierarchy. Not all roles are allowed to self-register publicly on the web.</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1B4B"/>
            <w:tcMar>
              <w:top w:w="120" w:type="dxa"/>
              <w:bottom w:w="120" w:type="dxa"/>
              <w:left w:w="100" w:type="dxa"/>
              <w:right w:w="100" w:type="dxa"/>
            </w:tcMar>
          </w:tcPr>
          <w:p>
            <w:r>
              <w:rPr>
                <w:b/>
                <w:color w:val="FFFFFF"/>
                <w:sz w:val="18"/>
              </w:rPr>
              <w:t>System Role</w:t>
            </w:r>
          </w:p>
        </w:tc>
        <w:tc>
          <w:tcPr>
            <w:tcW w:type="dxa" w:w="1872"/>
            <w:shd w:fill="1E1B4B"/>
            <w:tcMar>
              <w:top w:w="120" w:type="dxa"/>
              <w:bottom w:w="120" w:type="dxa"/>
              <w:left w:w="100" w:type="dxa"/>
              <w:right w:w="100" w:type="dxa"/>
            </w:tcMar>
          </w:tcPr>
          <w:p>
            <w:pPr>
              <w:jc w:val="center"/>
            </w:pPr>
            <w:r>
              <w:rPr>
                <w:b/>
                <w:color w:val="FFFFFF"/>
                <w:sz w:val="18"/>
              </w:rPr>
              <w:t>Public Register?</w:t>
            </w:r>
          </w:p>
        </w:tc>
        <w:tc>
          <w:tcPr>
            <w:tcW w:type="dxa" w:w="3168"/>
            <w:shd w:fill="1E1B4B"/>
            <w:tcMar>
              <w:top w:w="120" w:type="dxa"/>
              <w:bottom w:w="120" w:type="dxa"/>
              <w:left w:w="100" w:type="dxa"/>
              <w:right w:w="100" w:type="dxa"/>
            </w:tcMar>
          </w:tcPr>
          <w:p>
            <w:r>
              <w:rPr>
                <w:b/>
                <w:color w:val="FFFFFF"/>
                <w:sz w:val="18"/>
              </w:rPr>
              <w:t>How Account is Created</w:t>
            </w:r>
          </w:p>
        </w:tc>
        <w:tc>
          <w:tcPr>
            <w:tcW w:type="dxa" w:w="2592"/>
            <w:shd w:fill="1E1B4B"/>
            <w:tcMar>
              <w:top w:w="120" w:type="dxa"/>
              <w:bottom w:w="120" w:type="dxa"/>
              <w:left w:w="100" w:type="dxa"/>
              <w:right w:w="100" w:type="dxa"/>
            </w:tcMar>
          </w:tcPr>
          <w:p>
            <w:r>
              <w:rPr>
                <w:b/>
                <w:color w:val="FFFFFF"/>
                <w:sz w:val="18"/>
              </w:rPr>
              <w:t>Where Login Takes Them</w:t>
            </w:r>
          </w:p>
        </w:tc>
      </w:tr>
      <w:tr>
        <w:tc>
          <w:tcPr>
            <w:tcW w:type="dxa" w:w="1728"/>
            <w:shd w:fill="FFFFFF"/>
            <w:tcMar>
              <w:top w:w="100" w:type="dxa"/>
              <w:bottom w:w="100" w:type="dxa"/>
              <w:left w:w="100" w:type="dxa"/>
              <w:right w:w="100" w:type="dxa"/>
            </w:tcMar>
          </w:tcPr>
          <w:p>
            <w:r>
              <w:rPr>
                <w:b/>
                <w:sz w:val="17"/>
              </w:rPr>
              <w:t>Student</w:t>
            </w:r>
          </w:p>
        </w:tc>
        <w:tc>
          <w:tcPr>
            <w:tcW w:type="dxa" w:w="1872"/>
            <w:shd w:fill="FFFFFF"/>
            <w:tcMar>
              <w:top w:w="100" w:type="dxa"/>
              <w:bottom w:w="100" w:type="dxa"/>
              <w:left w:w="100" w:type="dxa"/>
              <w:right w:w="100" w:type="dxa"/>
            </w:tcMar>
          </w:tcPr>
          <w:p>
            <w:pPr>
              <w:jc w:val="center"/>
            </w:pPr>
            <w:r>
              <w:rPr>
                <w:b/>
                <w:color w:val="10B981"/>
                <w:sz w:val="17"/>
              </w:rPr>
              <w:t>YES (Tab 1)</w:t>
            </w:r>
          </w:p>
        </w:tc>
        <w:tc>
          <w:tcPr>
            <w:tcW w:type="dxa" w:w="3168"/>
            <w:shd w:fill="FFFFFF"/>
            <w:tcMar>
              <w:top w:w="100" w:type="dxa"/>
              <w:bottom w:w="100" w:type="dxa"/>
              <w:left w:w="100" w:type="dxa"/>
              <w:right w:w="100" w:type="dxa"/>
            </w:tcMar>
          </w:tcPr>
          <w:p>
            <w:r>
              <w:rPr>
                <w:sz w:val="17"/>
              </w:rPr>
              <w:t>Self-registers on /register as an Independent learner or chooses an enrolled college.</w:t>
            </w:r>
          </w:p>
        </w:tc>
        <w:tc>
          <w:tcPr>
            <w:tcW w:type="dxa" w:w="2592"/>
            <w:shd w:fill="FFFFFF"/>
            <w:tcMar>
              <w:top w:w="100" w:type="dxa"/>
              <w:bottom w:w="100" w:type="dxa"/>
              <w:left w:w="100" w:type="dxa"/>
              <w:right w:w="100" w:type="dxa"/>
            </w:tcMar>
          </w:tcPr>
          <w:p>
            <w:r>
              <w:rPr>
                <w:sz w:val="17"/>
              </w:rPr>
              <w:t>Student Portal (/student/dashboard) to take tests and view scorecards.</w:t>
            </w:r>
          </w:p>
        </w:tc>
      </w:tr>
      <w:tr>
        <w:tc>
          <w:tcPr>
            <w:tcW w:type="dxa" w:w="1728"/>
            <w:shd w:fill="F8FAFC"/>
            <w:tcMar>
              <w:top w:w="100" w:type="dxa"/>
              <w:bottom w:w="100" w:type="dxa"/>
              <w:left w:w="100" w:type="dxa"/>
              <w:right w:w="100" w:type="dxa"/>
            </w:tcMar>
          </w:tcPr>
          <w:p>
            <w:r>
              <w:rPr>
                <w:b/>
                <w:sz w:val="17"/>
              </w:rPr>
              <w:t>Creator</w:t>
            </w:r>
          </w:p>
        </w:tc>
        <w:tc>
          <w:tcPr>
            <w:tcW w:type="dxa" w:w="1872"/>
            <w:shd w:fill="F8FAFC"/>
            <w:tcMar>
              <w:top w:w="100" w:type="dxa"/>
              <w:bottom w:w="100" w:type="dxa"/>
              <w:left w:w="100" w:type="dxa"/>
              <w:right w:w="100" w:type="dxa"/>
            </w:tcMar>
          </w:tcPr>
          <w:p>
            <w:pPr>
              <w:jc w:val="center"/>
            </w:pPr>
            <w:r>
              <w:rPr>
                <w:b/>
                <w:color w:val="10B981"/>
                <w:sz w:val="17"/>
              </w:rPr>
              <w:t>YES (Tab 2)</w:t>
            </w:r>
          </w:p>
        </w:tc>
        <w:tc>
          <w:tcPr>
            <w:tcW w:type="dxa" w:w="3168"/>
            <w:shd w:fill="F8FAFC"/>
            <w:tcMar>
              <w:top w:w="100" w:type="dxa"/>
              <w:bottom w:w="100" w:type="dxa"/>
              <w:left w:w="100" w:type="dxa"/>
              <w:right w:w="100" w:type="dxa"/>
            </w:tcMar>
          </w:tcPr>
          <w:p>
            <w:r>
              <w:rPr>
                <w:sz w:val="17"/>
              </w:rPr>
              <w:t>Self-registers on /register as an independent educator/author.</w:t>
            </w:r>
          </w:p>
        </w:tc>
        <w:tc>
          <w:tcPr>
            <w:tcW w:type="dxa" w:w="2592"/>
            <w:shd w:fill="F8FAFC"/>
            <w:tcMar>
              <w:top w:w="100" w:type="dxa"/>
              <w:bottom w:w="100" w:type="dxa"/>
              <w:left w:w="100" w:type="dxa"/>
              <w:right w:w="100" w:type="dxa"/>
            </w:tcMar>
          </w:tcPr>
          <w:p>
            <w:r>
              <w:rPr>
                <w:sz w:val="17"/>
              </w:rPr>
              <w:t>Creator Studio (/creator/dashboard) to build and publish public tests.</w:t>
            </w:r>
          </w:p>
        </w:tc>
      </w:tr>
      <w:tr>
        <w:tc>
          <w:tcPr>
            <w:tcW w:type="dxa" w:w="1728"/>
            <w:shd w:fill="FFFFFF"/>
            <w:tcMar>
              <w:top w:w="100" w:type="dxa"/>
              <w:bottom w:w="100" w:type="dxa"/>
              <w:left w:w="100" w:type="dxa"/>
              <w:right w:w="100" w:type="dxa"/>
            </w:tcMar>
          </w:tcPr>
          <w:p>
            <w:r>
              <w:rPr>
                <w:b/>
                <w:sz w:val="17"/>
              </w:rPr>
              <w:t>Org Admin</w:t>
            </w:r>
          </w:p>
        </w:tc>
        <w:tc>
          <w:tcPr>
            <w:tcW w:type="dxa" w:w="1872"/>
            <w:shd w:fill="FFFFFF"/>
            <w:tcMar>
              <w:top w:w="100" w:type="dxa"/>
              <w:bottom w:w="100" w:type="dxa"/>
              <w:left w:w="100" w:type="dxa"/>
              <w:right w:w="100" w:type="dxa"/>
            </w:tcMar>
          </w:tcPr>
          <w:p>
            <w:pPr>
              <w:jc w:val="center"/>
            </w:pPr>
            <w:r>
              <w:rPr>
                <w:b/>
                <w:color w:val="10B981"/>
                <w:sz w:val="17"/>
              </w:rPr>
              <w:t>YES (Tab 3)</w:t>
            </w:r>
          </w:p>
        </w:tc>
        <w:tc>
          <w:tcPr>
            <w:tcW w:type="dxa" w:w="3168"/>
            <w:shd w:fill="FFFFFF"/>
            <w:tcMar>
              <w:top w:w="100" w:type="dxa"/>
              <w:bottom w:w="100" w:type="dxa"/>
              <w:left w:w="100" w:type="dxa"/>
              <w:right w:w="100" w:type="dxa"/>
            </w:tcMar>
          </w:tcPr>
          <w:p>
            <w:r>
              <w:rPr>
                <w:sz w:val="17"/>
              </w:rPr>
              <w:t>Self-registers institution details (College/School name) &amp; admin credentials.</w:t>
            </w:r>
          </w:p>
        </w:tc>
        <w:tc>
          <w:tcPr>
            <w:tcW w:type="dxa" w:w="2592"/>
            <w:shd w:fill="FFFFFF"/>
            <w:tcMar>
              <w:top w:w="100" w:type="dxa"/>
              <w:bottom w:w="100" w:type="dxa"/>
              <w:left w:w="100" w:type="dxa"/>
              <w:right w:w="100" w:type="dxa"/>
            </w:tcMar>
          </w:tcPr>
          <w:p>
            <w:r>
              <w:rPr>
                <w:sz w:val="17"/>
              </w:rPr>
              <w:t>Admin Portal (/admin/dashboard) to manage teachers, students &amp; subscriptions.</w:t>
            </w:r>
          </w:p>
        </w:tc>
      </w:tr>
      <w:tr>
        <w:tc>
          <w:tcPr>
            <w:tcW w:type="dxa" w:w="1728"/>
            <w:shd w:fill="F8FAFC"/>
            <w:tcMar>
              <w:top w:w="100" w:type="dxa"/>
              <w:bottom w:w="100" w:type="dxa"/>
              <w:left w:w="100" w:type="dxa"/>
              <w:right w:w="100" w:type="dxa"/>
            </w:tcMar>
          </w:tcPr>
          <w:p>
            <w:r>
              <w:rPr>
                <w:b/>
                <w:sz w:val="17"/>
              </w:rPr>
              <w:t>Teacher</w:t>
            </w:r>
          </w:p>
        </w:tc>
        <w:tc>
          <w:tcPr>
            <w:tcW w:type="dxa" w:w="1872"/>
            <w:shd w:fill="F8FAFC"/>
            <w:tcMar>
              <w:top w:w="100" w:type="dxa"/>
              <w:bottom w:w="100" w:type="dxa"/>
              <w:left w:w="100" w:type="dxa"/>
              <w:right w:w="100" w:type="dxa"/>
            </w:tcMar>
          </w:tcPr>
          <w:p>
            <w:pPr>
              <w:jc w:val="center"/>
            </w:pPr>
            <w:r>
              <w:rPr>
                <w:b/>
                <w:color w:val="EF4444"/>
                <w:sz w:val="17"/>
              </w:rPr>
              <w:t>NO (Restricted)</w:t>
            </w:r>
          </w:p>
        </w:tc>
        <w:tc>
          <w:tcPr>
            <w:tcW w:type="dxa" w:w="3168"/>
            <w:shd w:fill="F8FAFC"/>
            <w:tcMar>
              <w:top w:w="100" w:type="dxa"/>
              <w:bottom w:w="100" w:type="dxa"/>
              <w:left w:w="100" w:type="dxa"/>
              <w:right w:w="100" w:type="dxa"/>
            </w:tcMar>
          </w:tcPr>
          <w:p>
            <w:r>
              <w:rPr>
                <w:sz w:val="17"/>
              </w:rPr>
              <w:t>Created &amp; invited by their Org Admin inside the Admin Portal (/admin/teachers).</w:t>
            </w:r>
          </w:p>
        </w:tc>
        <w:tc>
          <w:tcPr>
            <w:tcW w:type="dxa" w:w="2592"/>
            <w:shd w:fill="F8FAFC"/>
            <w:tcMar>
              <w:top w:w="100" w:type="dxa"/>
              <w:bottom w:w="100" w:type="dxa"/>
              <w:left w:w="100" w:type="dxa"/>
              <w:right w:w="100" w:type="dxa"/>
            </w:tcMar>
          </w:tcPr>
          <w:p>
            <w:r>
              <w:rPr>
                <w:sz w:val="17"/>
              </w:rPr>
              <w:t>Teacher Portal (/teacher/dashboard) to author class tests &amp; question banks.</w:t>
            </w:r>
          </w:p>
        </w:tc>
      </w:tr>
      <w:tr>
        <w:tc>
          <w:tcPr>
            <w:tcW w:type="dxa" w:w="1728"/>
            <w:shd w:fill="FFFFFF"/>
            <w:tcMar>
              <w:top w:w="100" w:type="dxa"/>
              <w:bottom w:w="100" w:type="dxa"/>
              <w:left w:w="100" w:type="dxa"/>
              <w:right w:w="100" w:type="dxa"/>
            </w:tcMar>
          </w:tcPr>
          <w:p>
            <w:r>
              <w:rPr>
                <w:b/>
                <w:sz w:val="17"/>
              </w:rPr>
              <w:t>Super Admin</w:t>
            </w:r>
          </w:p>
        </w:tc>
        <w:tc>
          <w:tcPr>
            <w:tcW w:type="dxa" w:w="1872"/>
            <w:shd w:fill="FFFFFF"/>
            <w:tcMar>
              <w:top w:w="100" w:type="dxa"/>
              <w:bottom w:w="100" w:type="dxa"/>
              <w:left w:w="100" w:type="dxa"/>
              <w:right w:w="100" w:type="dxa"/>
            </w:tcMar>
          </w:tcPr>
          <w:p>
            <w:pPr>
              <w:jc w:val="center"/>
            </w:pPr>
            <w:r>
              <w:rPr>
                <w:b/>
                <w:color w:val="EF4444"/>
                <w:sz w:val="17"/>
              </w:rPr>
              <w:t>NO (Restricted)</w:t>
            </w:r>
          </w:p>
        </w:tc>
        <w:tc>
          <w:tcPr>
            <w:tcW w:type="dxa" w:w="3168"/>
            <w:shd w:fill="FFFFFF"/>
            <w:tcMar>
              <w:top w:w="100" w:type="dxa"/>
              <w:bottom w:w="100" w:type="dxa"/>
              <w:left w:w="100" w:type="dxa"/>
              <w:right w:w="100" w:type="dxa"/>
            </w:tcMar>
          </w:tcPr>
          <w:p>
            <w:r>
              <w:rPr>
                <w:sz w:val="17"/>
              </w:rPr>
              <w:t>Master Platform Owner. Pre-seeded directly into the database for cybersecurity.</w:t>
            </w:r>
          </w:p>
        </w:tc>
        <w:tc>
          <w:tcPr>
            <w:tcW w:type="dxa" w:w="2592"/>
            <w:shd w:fill="FFFFFF"/>
            <w:tcMar>
              <w:top w:w="100" w:type="dxa"/>
              <w:bottom w:w="100" w:type="dxa"/>
              <w:left w:w="100" w:type="dxa"/>
              <w:right w:w="100" w:type="dxa"/>
            </w:tcMar>
          </w:tcPr>
          <w:p>
            <w:r>
              <w:rPr>
                <w:sz w:val="17"/>
              </w:rPr>
              <w:t>Super Admin Console (/superadmin/dashboard) for platform governance &amp; billing.</w:t>
            </w:r>
          </w:p>
        </w:tc>
      </w:tr>
    </w:tbl>
    <w:p>
      <w:pPr>
        <w:spacing w:after="240"/>
      </w:pPr>
    </w:p>
    <w:p>
      <w:pPr>
        <w:pStyle w:val="Heading2"/>
        <w:spacing w:before="280" w:after="120"/>
      </w:pPr>
      <w:r>
        <w:rPr>
          <w:rFonts w:ascii="Arial" w:hAnsi="Arial"/>
          <w:b/>
          <w:color w:val="0F172A"/>
          <w:sz w:val="26"/>
        </w:rPr>
        <w:t>A. The Universal Login Engine: One Single Login for All 5 Roles</w:t>
      </w:r>
    </w:p>
    <w:p>
      <w:pPr>
        <w:spacing w:after="160" w:line="276" w:lineRule="auto"/>
      </w:pPr>
      <w:r>
        <w:t>AssessIQ utilizes a Unified Authentication Architecture. There is only ONE login page in the entire system (/login).</w:t>
        <w:br/>
        <w:br/>
        <w:t>• No Need for Multiple Login URLs: A student does not visit a special 'student login' link, nor does an admin visit an 'admin login' link. Every user enters their email and password into the exact same login form.</w:t>
        <w:br/>
        <w:t>• Automatic Intelligent Role Routing: When the user submits the form, the Node.js backend validates their credentials, retrieves their authenticated role record from MongoDB (student, teacher, org_admin, test_creator, or super_admin), and responds with an encrypted JWT token. The React frontend immediately redirects the user to their respective secure dashboard.</w:t>
        <w:br/>
        <w:t>• Role-Based Guardrails: If a student attempts to type /admin/dashboard or /superadmin/dashboard in the browser address bar, the frontend ProtectedRoute component intercepts the request, blocks access, and redirects them to an Unauthorized error page.</w:t>
      </w:r>
    </w:p>
    <w:p>
      <w:pPr>
        <w:pStyle w:val="Heading2"/>
        <w:spacing w:before="280" w:after="120"/>
      </w:pPr>
      <w:r>
        <w:rPr>
          <w:rFonts w:ascii="Arial" w:hAnsi="Arial"/>
          <w:b/>
          <w:color w:val="0F172A"/>
          <w:sz w:val="26"/>
        </w:rPr>
        <w:t>B. Purpose of the 'Quick Demo Logins' on the Login Page</w:t>
      </w:r>
    </w:p>
    <w:p>
      <w:pPr>
        <w:spacing w:after="160" w:line="276" w:lineRule="auto"/>
      </w:pPr>
      <w:r>
        <w:t>On the /login page, you will notice five pill buttons labeled: [Student], [Org Admin], [Teacher], [Creator], and [Super Admin].</w:t>
        <w:br/>
        <w:t>These are Quick Demo Fill buttons engineered specifically for evaluators, project managers, and product reviewers. Clicking any of these pills automatically pre-fills the credentials of that role into the email and password inputs, allowing anyone to test and inspect all 5 distinct user experiences in seconds without having to memorize or manually type demo passwords.</w:t>
      </w:r>
    </w:p>
    <w:p>
      <w:pPr>
        <w:pStyle w:val="Heading2"/>
        <w:spacing w:before="280" w:after="120"/>
      </w:pPr>
      <w:r>
        <w:rPr>
          <w:rFonts w:ascii="Arial" w:hAnsi="Arial"/>
          <w:b/>
          <w:color w:val="0F172A"/>
          <w:sz w:val="26"/>
        </w:rPr>
        <w:t>C. Detailed Step-by-Step User Journeys for Each Role</w:t>
      </w:r>
    </w:p>
    <w:p>
      <w:pPr>
        <w:spacing w:before="80" w:after="160" w:line="276" w:lineRule="auto"/>
      </w:pPr>
      <w:r>
        <w:rPr>
          <w:b/>
          <w:color w:val="0F172A"/>
          <w:sz w:val="22"/>
        </w:rPr>
        <w:t>1. Student Journey (Learner)</w:t>
        <w:br/>
      </w:r>
      <w:r>
        <w:rPr>
          <w:color w:val="1E293B"/>
        </w:rPr>
        <w:t>• Step 1 - Registration: The student visits /register, selects the [Student] tab, fills in Name, Email, Password, and optionally selects their college from the dropdown (or leaves it as 'Independent Student').</w:t>
        <w:br/>
        <w:t>• Step 2 - Sign In: After registration (or whenever returning), they visit /login and enter their email and password.</w:t>
        <w:br/>
        <w:t>• Step 3 - Dashboard Landing: The system recognizes role='student' and routes them to /student/dashboard.</w:t>
        <w:br/>
        <w:t>• Step 4 - Test Execution: The student browses 'Available Tests', filters between their College tests and Public tests, reads test instructions, and starts the timed assessment with live countdown anti-cheating.</w:t>
        <w:br/>
        <w:t>• Step 5 - Instant Feedback: Upon finishing (or automatic timer timeout), the student instantly views their result scorecard, circular score percentage, pass/fail status, and question-by-question explanations.</w:t>
      </w:r>
    </w:p>
    <w:p>
      <w:pPr>
        <w:spacing w:before="80" w:after="160" w:line="276" w:lineRule="auto"/>
      </w:pPr>
      <w:r>
        <w:rPr>
          <w:b/>
          <w:color w:val="0F172A"/>
          <w:sz w:val="22"/>
        </w:rPr>
        <w:t>2. Test Creator Journey (Independent Author)</w:t>
        <w:br/>
      </w:r>
      <w:r>
        <w:rPr>
          <w:color w:val="1E293B"/>
        </w:rPr>
        <w:t>• Step 1 - Registration: Visits /register, selects the [Creator] tab, fills in Name, Email, Password, and Phone Number.</w:t>
        <w:br/>
        <w:t>• Step 2 - Sign In: Visits /login with their creator credentials.</w:t>
        <w:br/>
        <w:t>• Step 3 - Dashboard Landing: System routes them to /creator/dashboard.</w:t>
        <w:br/>
        <w:t>• Step 4 - Authoring: The creator clicks 'Create New Test', sets test duration, passing marks, and subject tags, and adds multiple-choice questions with answer choices.</w:t>
        <w:br/>
        <w:t>• Step 5 - Publishing: The creator clicks 'Publish Test'. The test becomes immediately visible to all students across the platform in the Public Tests catalog.</w:t>
      </w:r>
    </w:p>
    <w:p>
      <w:pPr>
        <w:spacing w:before="80" w:after="160" w:line="276" w:lineRule="auto"/>
      </w:pPr>
      <w:r>
        <w:rPr>
          <w:b/>
          <w:color w:val="0F172A"/>
          <w:sz w:val="22"/>
        </w:rPr>
        <w:t>3. Organization Administrator Journey (College / School Admin)</w:t>
        <w:br/>
      </w:r>
      <w:r>
        <w:rPr>
          <w:color w:val="1E293B"/>
        </w:rPr>
        <w:t>• Step 1 - Registration: An authorized college representative visits /register, selects the [Org Admin] tab, enters their institution name (e.g. 'Stanford Academy'), institution type (College/University/School), and admin credentials.</w:t>
        <w:br/>
        <w:t>• Step 2 - Automatic Onboarding: The backend automatically creates the new Organization record and assigns this user as the Organization Administrator.</w:t>
        <w:br/>
        <w:t>• Step 3 - Dashboard Landing: The admin is routed to /admin/dashboard.</w:t>
        <w:br/>
        <w:t>• Step 4 - Faculty Provisioning: The admin navigates to /admin/teachers and clicks 'Add New Teacher' to create accounts for faculty members.</w:t>
        <w:br/>
        <w:t>• Step 5 - Oversight &amp; Analytics: The admin tracks overall institution test participation, student pass rates, and monitors their organization's subscription quotas.</w:t>
      </w:r>
    </w:p>
    <w:p>
      <w:pPr>
        <w:spacing w:before="80" w:after="160" w:line="276" w:lineRule="auto"/>
      </w:pPr>
      <w:r>
        <w:rPr>
          <w:b/>
          <w:color w:val="0F172A"/>
          <w:sz w:val="22"/>
        </w:rPr>
        <w:t>4. Teacher Journey (Institution Faculty Member)</w:t>
        <w:br/>
      </w:r>
      <w:r>
        <w:rPr>
          <w:color w:val="1E293B"/>
        </w:rPr>
        <w:t>• Step 1 - Provisioning (No Public Registration): The teacher does NOT register on the public website. Their account is created by their college Org Admin inside the administration portal.</w:t>
        <w:br/>
        <w:t>• Step 2 - Sign In: The teacher visits the standard universal /login page and enters their issued email and password.</w:t>
        <w:br/>
        <w:t>• Step 3 - Dashboard Landing: The system detects role='teacher' and routes them to /teacher/dashboard.</w:t>
        <w:br/>
        <w:t>• Step 4 - Assessment Creation: The teacher creates tests assigned to their department/organization, enters questions with positive marks and negative penalties, and clicks 'Publish'.</w:t>
        <w:br/>
        <w:t>• Step 5 - Academic Grading: Teachers view class submission logs, average marks, and identify struggling students via the results breakdown.</w:t>
      </w:r>
    </w:p>
    <w:p>
      <w:pPr>
        <w:spacing w:before="80" w:after="160" w:line="276" w:lineRule="auto"/>
      </w:pPr>
      <w:r>
        <w:rPr>
          <w:b/>
          <w:color w:val="0F172A"/>
          <w:sz w:val="22"/>
        </w:rPr>
        <w:t>5. Super Admin Journey (Master SaaS Platform Owner)</w:t>
        <w:br/>
      </w:r>
      <w:r>
        <w:rPr>
          <w:color w:val="1E293B"/>
        </w:rPr>
        <w:t>• Step 1 - Root Setup (No Public Registration): As the master software operator, Super Admin accounts are pre-seeded in the database during system deployment for strict cybersecurity.</w:t>
        <w:br/>
        <w:t>• Step 2 - Sign In: Visits the universal /login page with master credentials.</w:t>
        <w:br/>
        <w:t>• Step 3 - Dashboard Landing: System recognizes role='super_admin' and opens the master console at /superadmin/dashboard.</w:t>
        <w:br/>
        <w:t>• Step 4 - Tenant Governance: Super Admin monitors all registered organizations, approves or suspends tenant accounts, and configures SaaS subscription tiers.</w:t>
        <w:br/>
        <w:t>• Step 5 - Platform Health: Super Admin tracks overall server load, global attempt numbers, and system-wide revenue.</w:t>
      </w:r>
    </w:p>
    <w:p>
      <w:pPr>
        <w:spacing w:after="200"/>
      </w:pPr>
    </w:p>
    <w:p>
      <w:pPr>
        <w:pStyle w:val="Heading1"/>
        <w:spacing w:before="360" w:after="160"/>
      </w:pPr>
      <w:r>
        <w:rPr>
          <w:rFonts w:ascii="Arial" w:hAnsi="Arial"/>
          <w:b/>
          <w:color w:val="4F46E5"/>
          <w:sz w:val="32"/>
        </w:rPr>
        <w:t>3. Multi-Tenancy Architecture Explained Simply</w:t>
      </w:r>
    </w:p>
    <w:p>
      <w:pPr>
        <w:spacing w:after="200" w:line="276" w:lineRule="auto"/>
      </w:pPr>
      <w:r>
        <w:t>To explain multi-tenancy to business leaders or institutional clients, it is helpful to use the Real Estate Metaphor:</w:t>
        <w:br/>
        <w:br/>
        <w:t>• The Apartment Complex (The SaaS Application &amp; Server): The shared foundations, elevators, water supply, and security gates represent the shared React frontend, Node.js API, and database cluster.</w:t>
        <w:br/>
        <w:t>• The Individual Apartments (The Tenant Organizations): 'Apex Engineering College' and 'Greenwood High School' each have their own private apartment with their own private keys. A teacher or student from Greenwood High School can never unlock Apex College's apartment or view their tests, questions, or grades.</w:t>
        <w:br/>
        <w:t>• The Public Park (Public Certification Catalog): Independent students and educators can also interact in the common public catalog to take open tests, completely separate from private institutional exams.</w:t>
      </w:r>
    </w:p>
    <w:p>
      <w:pPr>
        <w:spacing w:after="200"/>
      </w:pPr>
    </w:p>
    <w:p>
      <w:pPr>
        <w:pStyle w:val="Heading1"/>
        <w:spacing w:before="360" w:after="160"/>
      </w:pPr>
      <w:r>
        <w:rPr>
          <w:rFonts w:ascii="Arial" w:hAnsi="Arial"/>
          <w:b/>
          <w:color w:val="4F46E5"/>
          <w:sz w:val="32"/>
        </w:rPr>
        <w:t>4. Comprehensive Functional Role Matrix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168"/>
            <w:shd w:fill="1E1B4B"/>
            <w:tcMar>
              <w:top w:w="120" w:type="dxa"/>
              <w:bottom w:w="120" w:type="dxa"/>
              <w:left w:w="100" w:type="dxa"/>
              <w:right w:w="100" w:type="dxa"/>
            </w:tcMar>
          </w:tcPr>
          <w:p>
            <w:pPr>
              <w:jc w:val="left"/>
            </w:pPr>
            <w:r>
              <w:rPr>
                <w:b/>
                <w:color w:val="FFFFFF"/>
                <w:sz w:val="18"/>
              </w:rPr>
              <w:t>Capability / Feature</w:t>
            </w:r>
          </w:p>
        </w:tc>
        <w:tc>
          <w:tcPr>
            <w:tcW w:type="dxa" w:w="1224"/>
            <w:shd w:fill="1E1B4B"/>
            <w:tcMar>
              <w:top w:w="120" w:type="dxa"/>
              <w:bottom w:w="120" w:type="dxa"/>
              <w:left w:w="100" w:type="dxa"/>
              <w:right w:w="100" w:type="dxa"/>
            </w:tcMar>
          </w:tcPr>
          <w:p>
            <w:pPr>
              <w:jc w:val="center"/>
            </w:pPr>
            <w:r>
              <w:rPr>
                <w:b/>
                <w:color w:val="FFFFFF"/>
                <w:sz w:val="18"/>
              </w:rPr>
              <w:t>Super Admin</w:t>
            </w:r>
          </w:p>
        </w:tc>
        <w:tc>
          <w:tcPr>
            <w:tcW w:type="dxa" w:w="1224"/>
            <w:shd w:fill="1E1B4B"/>
            <w:tcMar>
              <w:top w:w="120" w:type="dxa"/>
              <w:bottom w:w="120" w:type="dxa"/>
              <w:left w:w="100" w:type="dxa"/>
              <w:right w:w="100" w:type="dxa"/>
            </w:tcMar>
          </w:tcPr>
          <w:p>
            <w:pPr>
              <w:jc w:val="center"/>
            </w:pPr>
            <w:r>
              <w:rPr>
                <w:b/>
                <w:color w:val="FFFFFF"/>
                <w:sz w:val="18"/>
              </w:rPr>
              <w:t>Org Admin</w:t>
            </w:r>
          </w:p>
        </w:tc>
        <w:tc>
          <w:tcPr>
            <w:tcW w:type="dxa" w:w="1224"/>
            <w:shd w:fill="1E1B4B"/>
            <w:tcMar>
              <w:top w:w="120" w:type="dxa"/>
              <w:bottom w:w="120" w:type="dxa"/>
              <w:left w:w="100" w:type="dxa"/>
              <w:right w:w="100" w:type="dxa"/>
            </w:tcMar>
          </w:tcPr>
          <w:p>
            <w:pPr>
              <w:jc w:val="center"/>
            </w:pPr>
            <w:r>
              <w:rPr>
                <w:b/>
                <w:color w:val="FFFFFF"/>
                <w:sz w:val="18"/>
              </w:rPr>
              <w:t>Teacher</w:t>
            </w:r>
          </w:p>
        </w:tc>
        <w:tc>
          <w:tcPr>
            <w:tcW w:type="dxa" w:w="1224"/>
            <w:shd w:fill="1E1B4B"/>
            <w:tcMar>
              <w:top w:w="120" w:type="dxa"/>
              <w:bottom w:w="120" w:type="dxa"/>
              <w:left w:w="100" w:type="dxa"/>
              <w:right w:w="100" w:type="dxa"/>
            </w:tcMar>
          </w:tcPr>
          <w:p>
            <w:pPr>
              <w:jc w:val="center"/>
            </w:pPr>
            <w:r>
              <w:rPr>
                <w:b/>
                <w:color w:val="FFFFFF"/>
                <w:sz w:val="18"/>
              </w:rPr>
              <w:t>Student</w:t>
            </w:r>
          </w:p>
        </w:tc>
        <w:tc>
          <w:tcPr>
            <w:tcW w:type="dxa" w:w="1224"/>
            <w:shd w:fill="1E1B4B"/>
            <w:tcMar>
              <w:top w:w="120" w:type="dxa"/>
              <w:bottom w:w="120" w:type="dxa"/>
              <w:left w:w="100" w:type="dxa"/>
              <w:right w:w="100" w:type="dxa"/>
            </w:tcMar>
          </w:tcPr>
          <w:p>
            <w:pPr>
              <w:jc w:val="center"/>
            </w:pPr>
            <w:r>
              <w:rPr>
                <w:b/>
                <w:color w:val="FFFFFF"/>
                <w:sz w:val="18"/>
              </w:rPr>
              <w:t>Creator</w:t>
            </w:r>
          </w:p>
        </w:tc>
      </w:tr>
      <w:tr>
        <w:tc>
          <w:tcPr>
            <w:tcW w:type="dxa" w:w="3168"/>
            <w:shd w:fill="FFFFFF"/>
            <w:tcMar>
              <w:top w:w="100" w:type="dxa"/>
              <w:bottom w:w="100" w:type="dxa"/>
              <w:left w:w="100" w:type="dxa"/>
              <w:right w:w="100" w:type="dxa"/>
            </w:tcMar>
          </w:tcPr>
          <w:p>
            <w:r>
              <w:rPr>
                <w:sz w:val="17"/>
              </w:rPr>
              <w:t>Manage Tenant Orgs &amp; Subscriptions</w:t>
            </w:r>
          </w:p>
        </w:tc>
        <w:tc>
          <w:tcPr>
            <w:tcW w:type="dxa" w:w="1224"/>
            <w:shd w:fill="FFFFFF"/>
            <w:tcMar>
              <w:top w:w="100" w:type="dxa"/>
              <w:bottom w:w="100" w:type="dxa"/>
              <w:left w:w="100" w:type="dxa"/>
              <w:right w:w="100" w:type="dxa"/>
            </w:tcMar>
          </w:tcPr>
          <w:p>
            <w:pPr>
              <w:jc w:val="center"/>
            </w:pPr>
            <w:r>
              <w:rPr>
                <w:b/>
                <w:color w:val="10B981"/>
                <w:sz w:val="17"/>
              </w:rPr>
              <w:t>YES</w:t>
            </w:r>
          </w:p>
        </w:tc>
        <w:tc>
          <w:tcPr>
            <w:tcW w:type="dxa" w:w="1224"/>
            <w:shd w:fill="FFFFFF"/>
            <w:tcMar>
              <w:top w:w="100" w:type="dxa"/>
              <w:bottom w:w="100" w:type="dxa"/>
              <w:left w:w="100" w:type="dxa"/>
              <w:right w:w="100" w:type="dxa"/>
            </w:tcMar>
          </w:tcPr>
          <w:p>
            <w:pPr>
              <w:jc w:val="center"/>
            </w:pPr>
            <w:r>
              <w:rPr>
                <w:color w:val="9CA3AF"/>
                <w:sz w:val="17"/>
              </w:rPr>
              <w:t>NO</w:t>
            </w:r>
          </w:p>
        </w:tc>
        <w:tc>
          <w:tcPr>
            <w:tcW w:type="dxa" w:w="1224"/>
            <w:shd w:fill="FFFFFF"/>
            <w:tcMar>
              <w:top w:w="100" w:type="dxa"/>
              <w:bottom w:w="100" w:type="dxa"/>
              <w:left w:w="100" w:type="dxa"/>
              <w:right w:w="100" w:type="dxa"/>
            </w:tcMar>
          </w:tcPr>
          <w:p>
            <w:pPr>
              <w:jc w:val="center"/>
            </w:pPr>
            <w:r>
              <w:rPr>
                <w:color w:val="9CA3AF"/>
                <w:sz w:val="17"/>
              </w:rPr>
              <w:t>NO</w:t>
            </w:r>
          </w:p>
        </w:tc>
        <w:tc>
          <w:tcPr>
            <w:tcW w:type="dxa" w:w="1224"/>
            <w:shd w:fill="FFFFFF"/>
            <w:tcMar>
              <w:top w:w="100" w:type="dxa"/>
              <w:bottom w:w="100" w:type="dxa"/>
              <w:left w:w="100" w:type="dxa"/>
              <w:right w:w="100" w:type="dxa"/>
            </w:tcMar>
          </w:tcPr>
          <w:p>
            <w:pPr>
              <w:jc w:val="center"/>
            </w:pPr>
            <w:r>
              <w:rPr>
                <w:color w:val="9CA3AF"/>
                <w:sz w:val="17"/>
              </w:rPr>
              <w:t>NO</w:t>
            </w:r>
          </w:p>
        </w:tc>
        <w:tc>
          <w:tcPr>
            <w:tcW w:type="dxa" w:w="1224"/>
            <w:shd w:fill="FFFFFF"/>
            <w:tcMar>
              <w:top w:w="100" w:type="dxa"/>
              <w:bottom w:w="100" w:type="dxa"/>
              <w:left w:w="100" w:type="dxa"/>
              <w:right w:w="100" w:type="dxa"/>
            </w:tcMar>
          </w:tcPr>
          <w:p>
            <w:pPr>
              <w:jc w:val="center"/>
            </w:pPr>
            <w:r>
              <w:rPr>
                <w:color w:val="9CA3AF"/>
                <w:sz w:val="17"/>
              </w:rPr>
              <w:t>NO</w:t>
            </w:r>
          </w:p>
        </w:tc>
      </w:tr>
      <w:tr>
        <w:tc>
          <w:tcPr>
            <w:tcW w:type="dxa" w:w="3168"/>
            <w:shd w:fill="F8FAFC"/>
            <w:tcMar>
              <w:top w:w="100" w:type="dxa"/>
              <w:bottom w:w="100" w:type="dxa"/>
              <w:left w:w="100" w:type="dxa"/>
              <w:right w:w="100" w:type="dxa"/>
            </w:tcMar>
          </w:tcPr>
          <w:p>
            <w:r>
              <w:rPr>
                <w:sz w:val="17"/>
              </w:rPr>
              <w:t>Provision Teachers &amp; Student Rosters</w:t>
            </w:r>
          </w:p>
        </w:tc>
        <w:tc>
          <w:tcPr>
            <w:tcW w:type="dxa" w:w="1224"/>
            <w:shd w:fill="F8FAFC"/>
            <w:tcMar>
              <w:top w:w="100" w:type="dxa"/>
              <w:bottom w:w="100" w:type="dxa"/>
              <w:left w:w="100" w:type="dxa"/>
              <w:right w:w="100" w:type="dxa"/>
            </w:tcMar>
          </w:tcPr>
          <w:p>
            <w:pPr>
              <w:jc w:val="center"/>
            </w:pPr>
            <w:r>
              <w:rPr>
                <w:b/>
                <w:color w:val="10B981"/>
                <w:sz w:val="17"/>
              </w:rPr>
              <w:t>YES</w:t>
            </w:r>
          </w:p>
        </w:tc>
        <w:tc>
          <w:tcPr>
            <w:tcW w:type="dxa" w:w="1224"/>
            <w:shd w:fill="F8FAFC"/>
            <w:tcMar>
              <w:top w:w="100" w:type="dxa"/>
              <w:bottom w:w="100" w:type="dxa"/>
              <w:left w:w="100" w:type="dxa"/>
              <w:right w:w="100" w:type="dxa"/>
            </w:tcMar>
          </w:tcPr>
          <w:p>
            <w:pPr>
              <w:jc w:val="center"/>
            </w:pPr>
            <w:r>
              <w:rPr>
                <w:b/>
                <w:color w:val="10B981"/>
                <w:sz w:val="17"/>
              </w:rPr>
              <w:t>YES</w:t>
            </w:r>
          </w:p>
        </w:tc>
        <w:tc>
          <w:tcPr>
            <w:tcW w:type="dxa" w:w="1224"/>
            <w:shd w:fill="F8FAFC"/>
            <w:tcMar>
              <w:top w:w="100" w:type="dxa"/>
              <w:bottom w:w="100" w:type="dxa"/>
              <w:left w:w="100" w:type="dxa"/>
              <w:right w:w="100" w:type="dxa"/>
            </w:tcMar>
          </w:tcPr>
          <w:p>
            <w:pPr>
              <w:jc w:val="center"/>
            </w:pPr>
            <w:r>
              <w:rPr>
                <w:color w:val="9CA3AF"/>
                <w:sz w:val="17"/>
              </w:rPr>
              <w:t>NO</w:t>
            </w:r>
          </w:p>
        </w:tc>
        <w:tc>
          <w:tcPr>
            <w:tcW w:type="dxa" w:w="1224"/>
            <w:shd w:fill="F8FAFC"/>
            <w:tcMar>
              <w:top w:w="100" w:type="dxa"/>
              <w:bottom w:w="100" w:type="dxa"/>
              <w:left w:w="100" w:type="dxa"/>
              <w:right w:w="100" w:type="dxa"/>
            </w:tcMar>
          </w:tcPr>
          <w:p>
            <w:pPr>
              <w:jc w:val="center"/>
            </w:pPr>
            <w:r>
              <w:rPr>
                <w:color w:val="9CA3AF"/>
                <w:sz w:val="17"/>
              </w:rPr>
              <w:t>NO</w:t>
            </w:r>
          </w:p>
        </w:tc>
        <w:tc>
          <w:tcPr>
            <w:tcW w:type="dxa" w:w="1224"/>
            <w:shd w:fill="F8FAFC"/>
            <w:tcMar>
              <w:top w:w="100" w:type="dxa"/>
              <w:bottom w:w="100" w:type="dxa"/>
              <w:left w:w="100" w:type="dxa"/>
              <w:right w:w="100" w:type="dxa"/>
            </w:tcMar>
          </w:tcPr>
          <w:p>
            <w:pPr>
              <w:jc w:val="center"/>
            </w:pPr>
            <w:r>
              <w:rPr>
                <w:color w:val="9CA3AF"/>
                <w:sz w:val="17"/>
              </w:rPr>
              <w:t>NO</w:t>
            </w:r>
          </w:p>
        </w:tc>
      </w:tr>
      <w:tr>
        <w:tc>
          <w:tcPr>
            <w:tcW w:type="dxa" w:w="3168"/>
            <w:shd w:fill="FFFFFF"/>
            <w:tcMar>
              <w:top w:w="100" w:type="dxa"/>
              <w:bottom w:w="100" w:type="dxa"/>
              <w:left w:w="100" w:type="dxa"/>
              <w:right w:w="100" w:type="dxa"/>
            </w:tcMar>
          </w:tcPr>
          <w:p>
            <w:r>
              <w:rPr>
                <w:sz w:val="17"/>
              </w:rPr>
              <w:t>Author &amp; Publish Tests</w:t>
            </w:r>
          </w:p>
        </w:tc>
        <w:tc>
          <w:tcPr>
            <w:tcW w:type="dxa" w:w="1224"/>
            <w:shd w:fill="FFFFFF"/>
            <w:tcMar>
              <w:top w:w="100" w:type="dxa"/>
              <w:bottom w:w="100" w:type="dxa"/>
              <w:left w:w="100" w:type="dxa"/>
              <w:right w:w="100" w:type="dxa"/>
            </w:tcMar>
          </w:tcPr>
          <w:p>
            <w:pPr>
              <w:jc w:val="center"/>
            </w:pPr>
            <w:r>
              <w:rPr>
                <w:b/>
                <w:color w:val="10B981"/>
                <w:sz w:val="17"/>
              </w:rPr>
              <w:t>YES</w:t>
            </w:r>
          </w:p>
        </w:tc>
        <w:tc>
          <w:tcPr>
            <w:tcW w:type="dxa" w:w="1224"/>
            <w:shd w:fill="FFFFFF"/>
            <w:tcMar>
              <w:top w:w="100" w:type="dxa"/>
              <w:bottom w:w="100" w:type="dxa"/>
              <w:left w:w="100" w:type="dxa"/>
              <w:right w:w="100" w:type="dxa"/>
            </w:tcMar>
          </w:tcPr>
          <w:p>
            <w:pPr>
              <w:jc w:val="center"/>
            </w:pPr>
            <w:r>
              <w:rPr>
                <w:b/>
                <w:color w:val="10B981"/>
                <w:sz w:val="17"/>
              </w:rPr>
              <w:t>YES</w:t>
            </w:r>
          </w:p>
        </w:tc>
        <w:tc>
          <w:tcPr>
            <w:tcW w:type="dxa" w:w="1224"/>
            <w:shd w:fill="FFFFFF"/>
            <w:tcMar>
              <w:top w:w="100" w:type="dxa"/>
              <w:bottom w:w="100" w:type="dxa"/>
              <w:left w:w="100" w:type="dxa"/>
              <w:right w:w="100" w:type="dxa"/>
            </w:tcMar>
          </w:tcPr>
          <w:p>
            <w:pPr>
              <w:jc w:val="center"/>
            </w:pPr>
            <w:r>
              <w:rPr>
                <w:b/>
                <w:color w:val="10B981"/>
                <w:sz w:val="17"/>
              </w:rPr>
              <w:t>YES</w:t>
            </w:r>
          </w:p>
        </w:tc>
        <w:tc>
          <w:tcPr>
            <w:tcW w:type="dxa" w:w="1224"/>
            <w:shd w:fill="FFFFFF"/>
            <w:tcMar>
              <w:top w:w="100" w:type="dxa"/>
              <w:bottom w:w="100" w:type="dxa"/>
              <w:left w:w="100" w:type="dxa"/>
              <w:right w:w="100" w:type="dxa"/>
            </w:tcMar>
          </w:tcPr>
          <w:p>
            <w:pPr>
              <w:jc w:val="center"/>
            </w:pPr>
            <w:r>
              <w:rPr>
                <w:color w:val="9CA3AF"/>
                <w:sz w:val="17"/>
              </w:rPr>
              <w:t>NO</w:t>
            </w:r>
          </w:p>
        </w:tc>
        <w:tc>
          <w:tcPr>
            <w:tcW w:type="dxa" w:w="1224"/>
            <w:shd w:fill="FFFFFF"/>
            <w:tcMar>
              <w:top w:w="100" w:type="dxa"/>
              <w:bottom w:w="100" w:type="dxa"/>
              <w:left w:w="100" w:type="dxa"/>
              <w:right w:w="100" w:type="dxa"/>
            </w:tcMar>
          </w:tcPr>
          <w:p>
            <w:pPr>
              <w:jc w:val="center"/>
            </w:pPr>
            <w:r>
              <w:rPr>
                <w:b/>
                <w:color w:val="10B981"/>
                <w:sz w:val="17"/>
              </w:rPr>
              <w:t>YES (Public)</w:t>
            </w:r>
          </w:p>
        </w:tc>
      </w:tr>
      <w:tr>
        <w:tc>
          <w:tcPr>
            <w:tcW w:type="dxa" w:w="3168"/>
            <w:shd w:fill="F8FAFC"/>
            <w:tcMar>
              <w:top w:w="100" w:type="dxa"/>
              <w:bottom w:w="100" w:type="dxa"/>
              <w:left w:w="100" w:type="dxa"/>
              <w:right w:w="100" w:type="dxa"/>
            </w:tcMar>
          </w:tcPr>
          <w:p>
            <w:r>
              <w:rPr>
                <w:sz w:val="17"/>
              </w:rPr>
              <w:t>Take Exams &amp; View Instant Scores</w:t>
            </w:r>
          </w:p>
        </w:tc>
        <w:tc>
          <w:tcPr>
            <w:tcW w:type="dxa" w:w="1224"/>
            <w:shd w:fill="F8FAFC"/>
            <w:tcMar>
              <w:top w:w="100" w:type="dxa"/>
              <w:bottom w:w="100" w:type="dxa"/>
              <w:left w:w="100" w:type="dxa"/>
              <w:right w:w="100" w:type="dxa"/>
            </w:tcMar>
          </w:tcPr>
          <w:p>
            <w:pPr>
              <w:jc w:val="center"/>
            </w:pPr>
            <w:r>
              <w:rPr>
                <w:color w:val="9CA3AF"/>
                <w:sz w:val="17"/>
              </w:rPr>
              <w:t>NO</w:t>
            </w:r>
          </w:p>
        </w:tc>
        <w:tc>
          <w:tcPr>
            <w:tcW w:type="dxa" w:w="1224"/>
            <w:shd w:fill="F8FAFC"/>
            <w:tcMar>
              <w:top w:w="100" w:type="dxa"/>
              <w:bottom w:w="100" w:type="dxa"/>
              <w:left w:w="100" w:type="dxa"/>
              <w:right w:w="100" w:type="dxa"/>
            </w:tcMar>
          </w:tcPr>
          <w:p>
            <w:pPr>
              <w:jc w:val="center"/>
            </w:pPr>
            <w:r>
              <w:rPr>
                <w:color w:val="9CA3AF"/>
                <w:sz w:val="17"/>
              </w:rPr>
              <w:t>NO</w:t>
            </w:r>
          </w:p>
        </w:tc>
        <w:tc>
          <w:tcPr>
            <w:tcW w:type="dxa" w:w="1224"/>
            <w:shd w:fill="F8FAFC"/>
            <w:tcMar>
              <w:top w:w="100" w:type="dxa"/>
              <w:bottom w:w="100" w:type="dxa"/>
              <w:left w:w="100" w:type="dxa"/>
              <w:right w:w="100" w:type="dxa"/>
            </w:tcMar>
          </w:tcPr>
          <w:p>
            <w:pPr>
              <w:jc w:val="center"/>
            </w:pPr>
            <w:r>
              <w:rPr>
                <w:color w:val="9CA3AF"/>
                <w:sz w:val="17"/>
              </w:rPr>
              <w:t>NO</w:t>
            </w:r>
          </w:p>
        </w:tc>
        <w:tc>
          <w:tcPr>
            <w:tcW w:type="dxa" w:w="1224"/>
            <w:shd w:fill="F8FAFC"/>
            <w:tcMar>
              <w:top w:w="100" w:type="dxa"/>
              <w:bottom w:w="100" w:type="dxa"/>
              <w:left w:w="100" w:type="dxa"/>
              <w:right w:w="100" w:type="dxa"/>
            </w:tcMar>
          </w:tcPr>
          <w:p>
            <w:pPr>
              <w:jc w:val="center"/>
            </w:pPr>
            <w:r>
              <w:rPr>
                <w:b/>
                <w:color w:val="10B981"/>
                <w:sz w:val="17"/>
              </w:rPr>
              <w:t>YES</w:t>
            </w:r>
          </w:p>
        </w:tc>
        <w:tc>
          <w:tcPr>
            <w:tcW w:type="dxa" w:w="1224"/>
            <w:shd w:fill="F8FAFC"/>
            <w:tcMar>
              <w:top w:w="100" w:type="dxa"/>
              <w:bottom w:w="100" w:type="dxa"/>
              <w:left w:w="100" w:type="dxa"/>
              <w:right w:w="100" w:type="dxa"/>
            </w:tcMar>
          </w:tcPr>
          <w:p>
            <w:pPr>
              <w:jc w:val="center"/>
            </w:pPr>
            <w:r>
              <w:rPr>
                <w:color w:val="9CA3AF"/>
                <w:sz w:val="17"/>
              </w:rPr>
              <w:t>NO</w:t>
            </w:r>
          </w:p>
        </w:tc>
      </w:tr>
      <w:tr>
        <w:tc>
          <w:tcPr>
            <w:tcW w:type="dxa" w:w="3168"/>
            <w:shd w:fill="FFFFFF"/>
            <w:tcMar>
              <w:top w:w="100" w:type="dxa"/>
              <w:bottom w:w="100" w:type="dxa"/>
              <w:left w:w="100" w:type="dxa"/>
              <w:right w:w="100" w:type="dxa"/>
            </w:tcMar>
          </w:tcPr>
          <w:p>
            <w:r>
              <w:rPr>
                <w:sz w:val="17"/>
              </w:rPr>
              <w:t>Live Anti-Cheating Countdown Timers</w:t>
            </w:r>
          </w:p>
        </w:tc>
        <w:tc>
          <w:tcPr>
            <w:tcW w:type="dxa" w:w="1224"/>
            <w:shd w:fill="FFFFFF"/>
            <w:tcMar>
              <w:top w:w="100" w:type="dxa"/>
              <w:bottom w:w="100" w:type="dxa"/>
              <w:left w:w="100" w:type="dxa"/>
              <w:right w:w="100" w:type="dxa"/>
            </w:tcMar>
          </w:tcPr>
          <w:p>
            <w:pPr>
              <w:jc w:val="center"/>
            </w:pPr>
            <w:r>
              <w:rPr>
                <w:b/>
                <w:color w:val="10B981"/>
                <w:sz w:val="17"/>
              </w:rPr>
              <w:t>YES</w:t>
            </w:r>
          </w:p>
        </w:tc>
        <w:tc>
          <w:tcPr>
            <w:tcW w:type="dxa" w:w="1224"/>
            <w:shd w:fill="FFFFFF"/>
            <w:tcMar>
              <w:top w:w="100" w:type="dxa"/>
              <w:bottom w:w="100" w:type="dxa"/>
              <w:left w:w="100" w:type="dxa"/>
              <w:right w:w="100" w:type="dxa"/>
            </w:tcMar>
          </w:tcPr>
          <w:p>
            <w:pPr>
              <w:jc w:val="center"/>
            </w:pPr>
            <w:r>
              <w:rPr>
                <w:b/>
                <w:color w:val="10B981"/>
                <w:sz w:val="17"/>
              </w:rPr>
              <w:t>YES</w:t>
            </w:r>
          </w:p>
        </w:tc>
        <w:tc>
          <w:tcPr>
            <w:tcW w:type="dxa" w:w="1224"/>
            <w:shd w:fill="FFFFFF"/>
            <w:tcMar>
              <w:top w:w="100" w:type="dxa"/>
              <w:bottom w:w="100" w:type="dxa"/>
              <w:left w:w="100" w:type="dxa"/>
              <w:right w:w="100" w:type="dxa"/>
            </w:tcMar>
          </w:tcPr>
          <w:p>
            <w:pPr>
              <w:jc w:val="center"/>
            </w:pPr>
            <w:r>
              <w:rPr>
                <w:b/>
                <w:color w:val="10B981"/>
                <w:sz w:val="17"/>
              </w:rPr>
              <w:t>YES</w:t>
            </w:r>
          </w:p>
        </w:tc>
        <w:tc>
          <w:tcPr>
            <w:tcW w:type="dxa" w:w="1224"/>
            <w:shd w:fill="FFFFFF"/>
            <w:tcMar>
              <w:top w:w="100" w:type="dxa"/>
              <w:bottom w:w="100" w:type="dxa"/>
              <w:left w:w="100" w:type="dxa"/>
              <w:right w:w="100" w:type="dxa"/>
            </w:tcMar>
          </w:tcPr>
          <w:p>
            <w:pPr>
              <w:jc w:val="center"/>
            </w:pPr>
            <w:r>
              <w:rPr>
                <w:b/>
                <w:color w:val="10B981"/>
                <w:sz w:val="17"/>
              </w:rPr>
              <w:t>YES</w:t>
            </w:r>
          </w:p>
        </w:tc>
        <w:tc>
          <w:tcPr>
            <w:tcW w:type="dxa" w:w="1224"/>
            <w:shd w:fill="FFFFFF"/>
            <w:tcMar>
              <w:top w:w="100" w:type="dxa"/>
              <w:bottom w:w="100" w:type="dxa"/>
              <w:left w:w="100" w:type="dxa"/>
              <w:right w:w="100" w:type="dxa"/>
            </w:tcMar>
          </w:tcPr>
          <w:p>
            <w:pPr>
              <w:jc w:val="center"/>
            </w:pPr>
            <w:r>
              <w:rPr>
                <w:b/>
                <w:color w:val="10B981"/>
                <w:sz w:val="17"/>
              </w:rPr>
              <w:t>YES</w:t>
            </w:r>
          </w:p>
        </w:tc>
      </w:tr>
      <w:tr>
        <w:tc>
          <w:tcPr>
            <w:tcW w:type="dxa" w:w="3168"/>
            <w:shd w:fill="F8FAFC"/>
            <w:tcMar>
              <w:top w:w="100" w:type="dxa"/>
              <w:bottom w:w="100" w:type="dxa"/>
              <w:left w:w="100" w:type="dxa"/>
              <w:right w:w="100" w:type="dxa"/>
            </w:tcMar>
          </w:tcPr>
          <w:p>
            <w:r>
              <w:rPr>
                <w:sz w:val="17"/>
              </w:rPr>
              <w:t>Analytics Scope</w:t>
            </w:r>
          </w:p>
        </w:tc>
        <w:tc>
          <w:tcPr>
            <w:tcW w:type="dxa" w:w="1224"/>
            <w:shd w:fill="F8FAFC"/>
            <w:tcMar>
              <w:top w:w="100" w:type="dxa"/>
              <w:bottom w:w="100" w:type="dxa"/>
              <w:left w:w="100" w:type="dxa"/>
              <w:right w:w="100" w:type="dxa"/>
            </w:tcMar>
          </w:tcPr>
          <w:p>
            <w:pPr>
              <w:jc w:val="center"/>
            </w:pPr>
            <w:r>
              <w:rPr>
                <w:sz w:val="17"/>
              </w:rPr>
              <w:t>Global Platform</w:t>
            </w:r>
          </w:p>
        </w:tc>
        <w:tc>
          <w:tcPr>
            <w:tcW w:type="dxa" w:w="1224"/>
            <w:shd w:fill="F8FAFC"/>
            <w:tcMar>
              <w:top w:w="100" w:type="dxa"/>
              <w:bottom w:w="100" w:type="dxa"/>
              <w:left w:w="100" w:type="dxa"/>
              <w:right w:w="100" w:type="dxa"/>
            </w:tcMar>
          </w:tcPr>
          <w:p>
            <w:pPr>
              <w:jc w:val="center"/>
            </w:pPr>
            <w:r>
              <w:rPr>
                <w:sz w:val="17"/>
              </w:rPr>
              <w:t>Entire College</w:t>
            </w:r>
          </w:p>
        </w:tc>
        <w:tc>
          <w:tcPr>
            <w:tcW w:type="dxa" w:w="1224"/>
            <w:shd w:fill="F8FAFC"/>
            <w:tcMar>
              <w:top w:w="100" w:type="dxa"/>
              <w:bottom w:w="100" w:type="dxa"/>
              <w:left w:w="100" w:type="dxa"/>
              <w:right w:w="100" w:type="dxa"/>
            </w:tcMar>
          </w:tcPr>
          <w:p>
            <w:pPr>
              <w:jc w:val="center"/>
            </w:pPr>
            <w:r>
              <w:rPr>
                <w:sz w:val="17"/>
              </w:rPr>
              <w:t>Assigned Classes</w:t>
            </w:r>
          </w:p>
        </w:tc>
        <w:tc>
          <w:tcPr>
            <w:tcW w:type="dxa" w:w="1224"/>
            <w:shd w:fill="F8FAFC"/>
            <w:tcMar>
              <w:top w:w="100" w:type="dxa"/>
              <w:bottom w:w="100" w:type="dxa"/>
              <w:left w:w="100" w:type="dxa"/>
              <w:right w:w="100" w:type="dxa"/>
            </w:tcMar>
          </w:tcPr>
          <w:p>
            <w:pPr>
              <w:jc w:val="center"/>
            </w:pPr>
            <w:r>
              <w:rPr>
                <w:sz w:val="17"/>
              </w:rPr>
              <w:t>Own Attempts</w:t>
            </w:r>
          </w:p>
        </w:tc>
        <w:tc>
          <w:tcPr>
            <w:tcW w:type="dxa" w:w="1224"/>
            <w:shd w:fill="F8FAFC"/>
            <w:tcMar>
              <w:top w:w="100" w:type="dxa"/>
              <w:bottom w:w="100" w:type="dxa"/>
              <w:left w:w="100" w:type="dxa"/>
              <w:right w:w="100" w:type="dxa"/>
            </w:tcMar>
          </w:tcPr>
          <w:p>
            <w:pPr>
              <w:jc w:val="center"/>
            </w:pPr>
            <w:r>
              <w:rPr>
                <w:sz w:val="17"/>
              </w:rPr>
              <w:t>Own Tests</w:t>
            </w:r>
          </w:p>
        </w:tc>
      </w:tr>
    </w:tbl>
    <w:p>
      <w:pPr>
        <w:spacing w:after="240"/>
      </w:pPr>
    </w:p>
    <w:p>
      <w:pPr>
        <w:pStyle w:val="Heading1"/>
        <w:spacing w:before="360" w:after="160"/>
      </w:pPr>
      <w:r>
        <w:rPr>
          <w:rFonts w:ascii="Arial" w:hAnsi="Arial"/>
          <w:b/>
          <w:color w:val="4F46E5"/>
          <w:sz w:val="32"/>
        </w:rPr>
        <w:t>5. Technical Stack &amp; Enterprise Security Architecture</w:t>
      </w:r>
    </w:p>
    <w:p>
      <w:pPr>
        <w:spacing w:after="160" w:line="276" w:lineRule="auto"/>
      </w:pPr>
      <w:r>
        <w:t>AssessIQ is built upon the robust, modern MERN (MongoDB, Express, React, Node.js) technology stack, adhering to industry standards for high availability and low latency:</w:t>
        <w:br/>
        <w:br/>
        <w:t>• Modern React Frontend (Vite + Modular CSS): Delivers instant build refreshes, zero bundle bloat, responsive layouts across mobile phones, tablets, and desktop workstations, and a modern glassmorphic visual language.</w:t>
        <w:br/>
        <w:t>• Node.js &amp; Express REST Backend: Stateless JSON Web Token (JWT) authorization, automated bcrypt password hashing (10 salt rounds), structured controller-service architecture, and centralized error logging.</w:t>
        <w:br/>
        <w:t>• MongoDB Multi-Tenant Quarantine: Every critical collection (Users, Tests, Questions, Attempts, Results) enforces tenant scoping via indexed organizationId foreign keys, preventing cross-tenant leakage.</w:t>
        <w:br/>
        <w:t>• Tamper-Proof Server-Side Grading: Correct answers are never sent to the student's browser during an active exam. Evaluation happens strictly server-side upon attempt completion, preventing client-side inspection hacks.</w:t>
        <w:br/>
        <w:t>• Fraction Penalty Scoring: Full support for customizable negative marking (e.g., -0.25 or -1.0 penalty per wrong choice) to mirror national competitive exam standards (SAT, GRE, JEE, NEET, UPSC).</w:t>
      </w:r>
    </w:p>
    <w:p>
      <w:pPr>
        <w:spacing w:after="200"/>
      </w:pPr>
    </w:p>
    <w:p>
      <w:pPr>
        <w:pStyle w:val="Heading1"/>
        <w:spacing w:before="360" w:after="160"/>
      </w:pPr>
      <w:r>
        <w:rPr>
          <w:rFonts w:ascii="Arial" w:hAnsi="Arial"/>
          <w:b/>
          <w:color w:val="4F46E5"/>
          <w:sz w:val="32"/>
        </w:rPr>
        <w:t>6. Executive Talking Points (Manager Q&amp;A)</w:t>
      </w:r>
    </w:p>
    <w:p>
      <w:pPr>
        <w:spacing w:after="160" w:line="276" w:lineRule="auto"/>
      </w:pPr>
      <w:r>
        <w:rPr>
          <w:b/>
          <w:color w:val="0F172A"/>
        </w:rPr>
        <w:t>Q: Why not just use Google Forms or WordPress quiz plugins?</w:t>
        <w:br/>
      </w:r>
      <w:r>
        <w:rPr>
          <w:color w:val="1E293B"/>
        </w:rPr>
        <w:t>A: Google Forms and generic quiz tools offer zero tenant data isolation, no server-validated anti-cheating countdown timers with auto-submit, no role-based permission tiers (Super Admin vs Org Admin vs Teacher vs Student), no automated negative marking, and no multi-institution subscription monetization engine.</w:t>
      </w:r>
    </w:p>
    <w:p>
      <w:pPr>
        <w:spacing w:after="160" w:line="276" w:lineRule="auto"/>
      </w:pPr>
      <w:r>
        <w:rPr>
          <w:b/>
          <w:color w:val="0F172A"/>
        </w:rPr>
        <w:t>Q: What happens if a student's internet drops during an active test?</w:t>
        <w:br/>
      </w:r>
      <w:r>
        <w:rPr>
          <w:color w:val="1E293B"/>
        </w:rPr>
        <w:t>A: Every question answered is saved dynamically in real-time. When the student reconnects, their active attempt is restored with the exact remaining server timestamp, preventing loss of progress.</w:t>
      </w:r>
    </w:p>
    <w:p>
      <w:pPr>
        <w:spacing w:after="160" w:line="276" w:lineRule="auto"/>
      </w:pPr>
      <w:r>
        <w:rPr>
          <w:b/>
          <w:color w:val="0F172A"/>
        </w:rPr>
        <w:t>Q: How does the platform generate revenue as a commercial product?</w:t>
        <w:br/>
      </w:r>
      <w:r>
        <w:rPr>
          <w:color w:val="1E293B"/>
        </w:rPr>
        <w:t>A: The Super Admin defines monthly and annual subscription plans (Starter, Growth, Enterprise) based on student enrollment limits, teacher seats, and total test authoring quotas. Educational institutions pay recurring SaaS fees for platform access.</w:t>
      </w:r>
    </w:p>
    <w:p>
      <w:pPr>
        <w:spacing w:after="160" w:line="276" w:lineRule="auto"/>
      </w:pPr>
      <w:r>
        <w:rPr>
          <w:b/>
          <w:color w:val="0F172A"/>
        </w:rPr>
        <w:t>Q: Can a college prevent students from seeing test questions before the exam starts?</w:t>
        <w:br/>
      </w:r>
      <w:r>
        <w:rPr>
          <w:color w:val="1E293B"/>
        </w:rPr>
        <w:t>A: Yes. Teachers author questions in a private draft state. Only when the teacher or admin explicitly triggers 'Publish' does the test become active, and test questions are only delivered one-by-one or in session upon the student clicking 'Start Exam'.</w:t>
      </w:r>
    </w:p>
    <w:p>
      <w:pPr>
        <w:spacing w:after="320"/>
      </w:pPr>
    </w:p>
    <w:p>
      <w:pPr>
        <w:jc w:val="center"/>
      </w:pPr>
      <w:r>
        <w:rPr>
          <w:i/>
          <w:color w:val="64748B"/>
          <w:sz w:val="19"/>
        </w:rPr>
        <w:t>— AssessIQ Comprehensive Executive &amp; Functional Role Architecture Guide —</w:t>
        <w:br/>
        <w:t>Prepared for Senior Management, Investors &amp; Product Stakeholders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