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360"/>
      </w:tblGrid>
      <w:tr w:rsidR="00B64BA9" w:rsidRPr="00B77A27" w14:paraId="7F622867" w14:textId="77777777" w:rsidTr="00693C48">
        <w:trPr>
          <w:trHeight w:val="2880"/>
          <w:jc w:val="center"/>
        </w:trPr>
        <w:tc>
          <w:tcPr>
            <w:tcW w:w="5000" w:type="pct"/>
          </w:tcPr>
          <w:p w14:paraId="4B3C96DA" w14:textId="77777777" w:rsidR="00073208" w:rsidRPr="00B77A27" w:rsidRDefault="00073208" w:rsidP="00540CC8">
            <w:pPr>
              <w:pStyle w:val="NoSpacing"/>
              <w:jc w:val="both"/>
              <w:rPr>
                <w:rFonts w:ascii="Arial" w:eastAsiaTheme="majorEastAsia" w:hAnsi="Arial" w:cs="Arial"/>
                <w:caps/>
                <w:sz w:val="24"/>
                <w:szCs w:val="24"/>
              </w:rPr>
            </w:pPr>
          </w:p>
          <w:p w14:paraId="6E740CEC" w14:textId="77777777" w:rsidR="00073208" w:rsidRPr="00B77A27" w:rsidRDefault="00073208" w:rsidP="00540CC8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7520B0DE" w14:textId="77777777" w:rsidR="00073208" w:rsidRPr="00B77A27" w:rsidRDefault="00073208" w:rsidP="00540CC8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  <w:r w:rsidRPr="00B77A27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47CE247" wp14:editId="376B5AFC">
                  <wp:extent cx="2019632" cy="976090"/>
                  <wp:effectExtent l="0" t="0" r="0" b="0"/>
                  <wp:docPr id="1" name="Picture 1" descr="S:\5_OPERATIONS\3_ICT\namfis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:\5_OPERATIONS\3_ICT\namfis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160" cy="97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E2DA9" w14:textId="77777777" w:rsidR="00073208" w:rsidRPr="00B77A27" w:rsidRDefault="00073208" w:rsidP="00540CC8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</w:p>
          <w:p w14:paraId="409A6D5C" w14:textId="77777777" w:rsidR="00073208" w:rsidRPr="00B77A27" w:rsidRDefault="00073208" w:rsidP="00540CC8">
            <w:pPr>
              <w:jc w:val="both"/>
              <w:rPr>
                <w:rFonts w:ascii="Arial" w:hAnsi="Arial" w:cs="Arial"/>
                <w:sz w:val="24"/>
                <w:szCs w:val="24"/>
                <w:lang w:eastAsia="ja-JP"/>
              </w:rPr>
            </w:pPr>
          </w:p>
        </w:tc>
      </w:tr>
      <w:tr w:rsidR="00B64BA9" w:rsidRPr="00B77A27" w14:paraId="01FF2FC1" w14:textId="77777777" w:rsidTr="00693C48">
        <w:trPr>
          <w:trHeight w:val="1440"/>
          <w:jc w:val="center"/>
        </w:trPr>
        <w:sdt>
          <w:sdtPr>
            <w:rPr>
              <w:rFonts w:ascii="Arial" w:eastAsiaTheme="majorEastAsia" w:hAnsi="Arial" w:cs="Arial"/>
              <w:sz w:val="72"/>
              <w:szCs w:val="96"/>
            </w:rPr>
            <w:alias w:val="Title"/>
            <w:id w:val="15524250"/>
            <w:placeholder>
              <w:docPart w:val="455461754B26493B8271376AC5B75509"/>
            </w:placeholder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tc>
              <w:tcPr>
                <w:tcW w:w="5000" w:type="pct"/>
                <w:vAlign w:val="center"/>
              </w:tcPr>
              <w:p w14:paraId="73B50148" w14:textId="77777777" w:rsidR="00073208" w:rsidRPr="00B77A27" w:rsidRDefault="009D5DA9" w:rsidP="001516FD">
                <w:pPr>
                  <w:pStyle w:val="NoSpacing"/>
                  <w:jc w:val="center"/>
                  <w:rPr>
                    <w:rFonts w:ascii="Arial" w:eastAsiaTheme="majorEastAsia" w:hAnsi="Arial" w:cs="Arial"/>
                    <w:sz w:val="72"/>
                    <w:szCs w:val="96"/>
                  </w:rPr>
                </w:pPr>
                <w:r w:rsidRPr="00B77A27">
                  <w:rPr>
                    <w:rFonts w:ascii="Arial" w:eastAsiaTheme="majorEastAsia" w:hAnsi="Arial" w:cs="Arial"/>
                    <w:sz w:val="72"/>
                    <w:szCs w:val="96"/>
                  </w:rPr>
                  <w:t>Reporting Suite</w:t>
                </w:r>
              </w:p>
            </w:tc>
          </w:sdtContent>
        </w:sdt>
      </w:tr>
      <w:tr w:rsidR="00B64BA9" w:rsidRPr="00B77A27" w14:paraId="2FAE93BD" w14:textId="77777777" w:rsidTr="00693C48">
        <w:trPr>
          <w:trHeight w:val="720"/>
          <w:jc w:val="center"/>
        </w:trPr>
        <w:sdt>
          <w:sdtPr>
            <w:rPr>
              <w:rFonts w:ascii="Arial" w:eastAsiaTheme="majorEastAsia" w:hAnsi="Arial" w:cs="Arial"/>
              <w:sz w:val="48"/>
              <w:szCs w:val="48"/>
            </w:rPr>
            <w:alias w:val="Subtitle"/>
            <w:id w:val="15524255"/>
            <w:placeholder>
              <w:docPart w:val="46AFD50801034099A165665252DB24A8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5000" w:type="pct"/>
                <w:vAlign w:val="center"/>
              </w:tcPr>
              <w:p w14:paraId="35D7B7AF" w14:textId="69614FE7" w:rsidR="00073208" w:rsidRPr="00B77A27" w:rsidRDefault="00217222" w:rsidP="001516FD">
                <w:pPr>
                  <w:pStyle w:val="NoSpacing"/>
                  <w:jc w:val="center"/>
                  <w:rPr>
                    <w:rFonts w:ascii="Arial" w:eastAsiaTheme="majorEastAsia" w:hAnsi="Arial" w:cs="Arial"/>
                    <w:sz w:val="48"/>
                    <w:szCs w:val="48"/>
                  </w:rPr>
                </w:pPr>
                <w:r w:rsidRPr="00217222">
                  <w:rPr>
                    <w:rFonts w:ascii="Arial" w:eastAsiaTheme="majorEastAsia" w:hAnsi="Arial" w:cs="Arial"/>
                    <w:sz w:val="48"/>
                    <w:szCs w:val="48"/>
                  </w:rPr>
                  <w:t>Modernisation and Analytics Enhancements Release Notes</w:t>
                </w:r>
              </w:p>
            </w:tc>
          </w:sdtContent>
        </w:sdt>
      </w:tr>
      <w:tr w:rsidR="00B64BA9" w:rsidRPr="00B77A27" w14:paraId="5168BFFF" w14:textId="77777777" w:rsidTr="00693C48">
        <w:trPr>
          <w:trHeight w:val="360"/>
          <w:jc w:val="center"/>
        </w:trPr>
        <w:tc>
          <w:tcPr>
            <w:tcW w:w="5000" w:type="pct"/>
            <w:vAlign w:val="center"/>
          </w:tcPr>
          <w:p w14:paraId="57667800" w14:textId="77777777" w:rsidR="00073208" w:rsidRPr="00B77A27" w:rsidRDefault="00073208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1676A3" w14:textId="77777777" w:rsidR="00073208" w:rsidRPr="00B77A27" w:rsidRDefault="00073208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D20E81" w14:textId="77777777" w:rsidR="00073208" w:rsidRPr="00B77A27" w:rsidRDefault="00073208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8322B0" w14:textId="77777777" w:rsidR="000A516D" w:rsidRPr="00B77A27" w:rsidRDefault="000A516D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0A97D8" w14:textId="77777777" w:rsidR="000A516D" w:rsidRPr="00B77A27" w:rsidRDefault="000A516D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6FF723" w14:textId="77777777" w:rsidR="00073208" w:rsidRPr="00B77A27" w:rsidRDefault="00073208" w:rsidP="001516FD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64BA9" w:rsidRPr="00B77A27" w14:paraId="5F96E88A" w14:textId="77777777" w:rsidTr="00693C48">
        <w:trPr>
          <w:trHeight w:val="360"/>
          <w:jc w:val="center"/>
        </w:trPr>
        <w:tc>
          <w:tcPr>
            <w:tcW w:w="5000" w:type="pct"/>
            <w:vAlign w:val="center"/>
          </w:tcPr>
          <w:p w14:paraId="3A9A8203" w14:textId="77777777" w:rsidR="00073208" w:rsidRPr="00B77A27" w:rsidRDefault="00073208" w:rsidP="00540CC8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47A87E7" w14:textId="77777777" w:rsidR="00606E21" w:rsidRPr="00B77A27" w:rsidRDefault="00606E21" w:rsidP="00540CC8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7BBC8873" w14:textId="77777777" w:rsidR="00606E21" w:rsidRPr="00B77A27" w:rsidRDefault="00606E21" w:rsidP="00540CC8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0ACB9453" w14:textId="77777777" w:rsidR="00606E21" w:rsidRPr="00B77A27" w:rsidRDefault="00606E21" w:rsidP="00540CC8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3F05E109" w14:textId="77777777" w:rsidR="00606E21" w:rsidRPr="00B77A27" w:rsidRDefault="00606E21" w:rsidP="00540CC8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073208" w:rsidRPr="00B77A27" w14:paraId="7934A14A" w14:textId="77777777" w:rsidTr="00693C48">
        <w:trPr>
          <w:trHeight w:val="360"/>
          <w:jc w:val="center"/>
        </w:trPr>
        <w:tc>
          <w:tcPr>
            <w:tcW w:w="5000" w:type="pct"/>
            <w:vAlign w:val="center"/>
          </w:tcPr>
          <w:p w14:paraId="3B63E0E8" w14:textId="743676E6" w:rsidR="00073208" w:rsidRPr="00B77A27" w:rsidRDefault="00073208" w:rsidP="001516FD">
            <w:pPr>
              <w:pStyle w:val="NoSpacing"/>
              <w:jc w:val="center"/>
              <w:rPr>
                <w:rFonts w:ascii="Arial" w:hAnsi="Arial" w:cs="Arial"/>
                <w:b/>
                <w:bCs/>
                <w:sz w:val="40"/>
                <w:szCs w:val="24"/>
              </w:rPr>
            </w:pPr>
            <w:r w:rsidRPr="00B77A27">
              <w:rPr>
                <w:rFonts w:ascii="Arial" w:hAnsi="Arial" w:cs="Arial"/>
                <w:b/>
                <w:bCs/>
                <w:sz w:val="40"/>
                <w:szCs w:val="24"/>
              </w:rPr>
              <w:t>I</w:t>
            </w:r>
            <w:r w:rsidR="00A57079" w:rsidRPr="00B77A27">
              <w:rPr>
                <w:rFonts w:ascii="Arial" w:hAnsi="Arial" w:cs="Arial"/>
                <w:b/>
                <w:bCs/>
                <w:sz w:val="40"/>
                <w:szCs w:val="24"/>
              </w:rPr>
              <w:t>C</w:t>
            </w:r>
            <w:r w:rsidRPr="00B77A27">
              <w:rPr>
                <w:rFonts w:ascii="Arial" w:hAnsi="Arial" w:cs="Arial"/>
                <w:b/>
                <w:bCs/>
                <w:sz w:val="40"/>
                <w:szCs w:val="24"/>
              </w:rPr>
              <w:t xml:space="preserve">T </w:t>
            </w:r>
            <w:r w:rsidR="001B60C1" w:rsidRPr="00B77A27">
              <w:rPr>
                <w:rFonts w:ascii="Arial" w:hAnsi="Arial" w:cs="Arial"/>
                <w:b/>
                <w:bCs/>
                <w:sz w:val="40"/>
                <w:szCs w:val="24"/>
              </w:rPr>
              <w:t>Division</w:t>
            </w:r>
          </w:p>
          <w:p w14:paraId="01B7F7E8" w14:textId="77777777" w:rsidR="00606E21" w:rsidRPr="00B77A27" w:rsidRDefault="00606E21" w:rsidP="001516FD">
            <w:pPr>
              <w:pStyle w:val="NoSpacing"/>
              <w:jc w:val="center"/>
              <w:rPr>
                <w:rFonts w:ascii="Arial" w:hAnsi="Arial" w:cs="Arial"/>
                <w:b/>
                <w:bCs/>
                <w:sz w:val="40"/>
                <w:szCs w:val="24"/>
              </w:rPr>
            </w:pPr>
          </w:p>
          <w:p w14:paraId="09AE27AC" w14:textId="45A0FF0A" w:rsidR="00606E21" w:rsidRPr="00B77A27" w:rsidRDefault="005A4976" w:rsidP="009849D9">
            <w:pPr>
              <w:pStyle w:val="NoSpacing"/>
              <w:jc w:val="center"/>
              <w:rPr>
                <w:rFonts w:ascii="Arial" w:hAnsi="Arial" w:cs="Arial"/>
                <w:b/>
                <w:bCs/>
                <w:sz w:val="40"/>
                <w:szCs w:val="24"/>
              </w:rPr>
            </w:pPr>
            <w:r>
              <w:rPr>
                <w:rFonts w:ascii="Arial" w:hAnsi="Arial" w:cs="Arial"/>
                <w:b/>
                <w:bCs/>
                <w:sz w:val="40"/>
                <w:szCs w:val="24"/>
              </w:rPr>
              <w:t>October</w:t>
            </w:r>
            <w:r w:rsidR="007415CD" w:rsidRPr="007415CD">
              <w:rPr>
                <w:rFonts w:ascii="Arial" w:hAnsi="Arial" w:cs="Arial"/>
                <w:b/>
                <w:bCs/>
                <w:sz w:val="40"/>
                <w:szCs w:val="24"/>
              </w:rPr>
              <w:t xml:space="preserve"> </w:t>
            </w:r>
            <w:r w:rsidR="009849D9" w:rsidRPr="00B77A27">
              <w:rPr>
                <w:rFonts w:ascii="Arial" w:hAnsi="Arial" w:cs="Arial"/>
                <w:b/>
                <w:bCs/>
                <w:sz w:val="40"/>
                <w:szCs w:val="24"/>
              </w:rPr>
              <w:t>20</w:t>
            </w:r>
            <w:r w:rsidR="00A57079" w:rsidRPr="00B77A27">
              <w:rPr>
                <w:rFonts w:ascii="Arial" w:hAnsi="Arial" w:cs="Arial"/>
                <w:b/>
                <w:bCs/>
                <w:sz w:val="40"/>
                <w:szCs w:val="24"/>
              </w:rPr>
              <w:t>2</w:t>
            </w:r>
            <w:r w:rsidR="00D90EFB">
              <w:rPr>
                <w:rFonts w:ascii="Arial" w:hAnsi="Arial" w:cs="Arial"/>
                <w:b/>
                <w:bCs/>
                <w:sz w:val="40"/>
                <w:szCs w:val="24"/>
              </w:rPr>
              <w:t>6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widowControl/>
        <w:numPr>
          <w:ilvl w:val="0"/>
          <w:numId w:val="0"/>
        </w:numPr>
        <w:spacing w:before="320" w:after="120"/>
      </w:pPr>
      <w:r>
        <w:rPr>
          <w:rFonts w:ascii="Arial" w:hAnsi="Arial"/>
          <w:b/>
          <w:color w:val="000000"/>
          <w:sz w:val="32"/>
        </w:rPr>
        <w:t>Contents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1.  Release overview</w:t>
      </w:r>
      <w:r>
        <w:rPr>
          <w:rFonts w:ascii="Arial" w:hAnsi="Arial"/>
          <w:color w:val="242424"/>
          <w:sz w:val="22"/>
        </w:rPr>
        <w:tab/>
        <w:t>3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2.  User facing enhancements</w:t>
      </w:r>
      <w:r>
        <w:rPr>
          <w:rFonts w:ascii="Arial" w:hAnsi="Arial"/>
          <w:color w:val="242424"/>
          <w:sz w:val="22"/>
        </w:rPr>
        <w:tab/>
        <w:t>3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3.  Security and deployment</w:t>
      </w:r>
      <w:r>
        <w:rPr>
          <w:rFonts w:ascii="Arial" w:hAnsi="Arial"/>
          <w:color w:val="242424"/>
          <w:sz w:val="22"/>
        </w:rPr>
        <w:tab/>
        <w:t>5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4.  Validation and user acceptance testing</w:t>
      </w:r>
      <w:r>
        <w:rPr>
          <w:rFonts w:ascii="Arial" w:hAnsi="Arial"/>
          <w:color w:val="242424"/>
          <w:sz w:val="22"/>
        </w:rPr>
        <w:tab/>
        <w:t>6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5.  Implementation and rollback</w:t>
      </w:r>
      <w:r>
        <w:rPr>
          <w:rFonts w:ascii="Arial" w:hAnsi="Arial"/>
          <w:color w:val="242424"/>
          <w:sz w:val="22"/>
        </w:rPr>
        <w:tab/>
        <w:t>7</w:t>
      </w:r>
    </w:p>
    <w:p>
      <w:pPr>
        <w:tabs>
          <w:tab w:pos="9288" w:val="right" w:leader="dot"/>
        </w:tabs>
        <w:spacing w:after="160"/>
        <w:ind w:left="0" w:firstLine="0"/>
      </w:pPr>
      <w:r>
        <w:rPr>
          <w:rFonts w:ascii="Arial" w:hAnsi="Arial"/>
          <w:b w:val="0"/>
          <w:color w:val="000000"/>
          <w:sz w:val="22"/>
        </w:rPr>
        <w:t>6.  Release approval</w:t>
      </w:r>
      <w:r>
        <w:rPr>
          <w:rFonts w:ascii="Arial" w:hAnsi="Arial"/>
          <w:color w:val="242424"/>
          <w:sz w:val="22"/>
        </w:rPr>
        <w:tab/>
        <w:t>8</w:t>
      </w:r>
    </w:p>
    <w:p>
      <w:pPr>
        <w:spacing w:before="240" w:after="0"/>
      </w:pPr>
      <w:r>
        <w:rPr>
          <w:rFonts w:ascii="Arial" w:hAnsi="Arial"/>
          <w:i/>
          <w:color w:val="595959"/>
          <w:sz w:val="19"/>
        </w:rPr>
        <w:t>Prepared for controlled deployment and user acceptance testing</w:t>
      </w:r>
    </w:p>
    <w:p>
      <w:r>
        <w:br w:type="page"/>
      </w:r>
    </w:p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Release overview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6984"/>
      </w:tblGrid>
      <w:tr>
        <w:trPr>
          <w:tblHeader w:val="true"/>
        </w:trPr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Release information</w:t>
            </w:r>
          </w:p>
        </w:tc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Prepared</w:t>
            </w:r>
          </w:p>
        </w:tc>
        <w:tc>
          <w:tcPr>
            <w:tcW w:type="dxa" w:w="69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7 October 2026</w:t>
            </w:r>
          </w:p>
        </w:tc>
      </w:tr>
      <w:tr>
        <w:trPr>
          <w:cantSplit/>
        </w:trPr>
        <w:tc>
          <w:tcPr>
            <w:tcW w:type="dxa" w:w="2045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Release status</w:t>
            </w:r>
          </w:p>
        </w:tc>
        <w:tc>
          <w:tcPr>
            <w:tcW w:type="dxa" w:w="6984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Release candidate for controlled deployment and user acceptance testing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Platform</w:t>
            </w:r>
          </w:p>
        </w:tc>
        <w:tc>
          <w:tcPr>
            <w:tcW w:type="dxa" w:w="69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ASP.NET Web Forms on .NET Framework 4.8, SQL Server, Windows authentication</w:t>
            </w:r>
          </w:p>
        </w:tc>
      </w:tr>
    </w:tbl>
    <w:p>
      <w:pPr>
        <w:spacing w:after="40"/>
      </w:pPr>
    </w:p>
    <w:p>
      <w:pPr>
        <w:widowControl/>
        <w:spacing w:before="0" w:after="10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This release establishes a modernized Reporting Suite baseline without changing existing reporting business rules or established report routes. It introduces the Limitless user interface, a division-oriented dashboard, self-service Adhoc reporting and analytics, direct rendering from the advanced ACoA stored procedure, a separate analytical warehouse path, and proactive Report Builder dependency health checks.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Release at a glance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6797"/>
      </w:tblGrid>
      <w:tr>
        <w:trPr>
          <w:tblHeader w:val="true"/>
        </w:trPr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Delivered outcome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Interface</w:t>
            </w:r>
          </w:p>
        </w:tc>
        <w:tc>
          <w:tcPr>
            <w:tcW w:type="dxa" w:w="679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Limitless application shell with a fixed header, responsive controls, and independently scrollable navigation.</w:t>
            </w:r>
          </w:p>
        </w:tc>
      </w:tr>
      <w:tr>
        <w:trPr>
          <w:cantSplit/>
        </w:trPr>
        <w:tc>
          <w:tcPr>
            <w:tcW w:type="dxa" w:w="2232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Dashboard</w:t>
            </w:r>
          </w:p>
        </w:tc>
        <w:tc>
          <w:tcPr>
            <w:tcW w:type="dxa" w:w="679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Division tabs, searchable report cards, report totals, and preserved report routes.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Adhoc reports</w:t>
            </w:r>
          </w:p>
        </w:tc>
        <w:tc>
          <w:tcPr>
            <w:tcW w:type="dxa" w:w="679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Administrator-managed read-only SQL reports with server-side data access, filters, exports, insights, and charts.</w:t>
            </w:r>
          </w:p>
        </w:tc>
      </w:tr>
      <w:tr>
        <w:trPr>
          <w:cantSplit/>
        </w:trPr>
        <w:tc>
          <w:tcPr>
            <w:tcW w:type="dxa" w:w="2232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Power BI</w:t>
            </w:r>
          </w:p>
        </w:tc>
        <w:tc>
          <w:tcPr>
            <w:tcW w:type="dxa" w:w="679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Stable SQL views created or updated whenever an Adhoc report is saved.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ACoA renderer</w:t>
            </w:r>
          </w:p>
        </w:tc>
        <w:tc>
          <w:tcPr>
            <w:tcW w:type="dxa" w:w="679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Dashboard, completed aggregate, and detail views generated from get_ACoA_Reports_Advance_v2.</w:t>
            </w:r>
          </w:p>
        </w:tc>
      </w:tr>
      <w:tr>
        <w:trPr>
          <w:cantSplit/>
        </w:trPr>
        <w:tc>
          <w:tcPr>
            <w:tcW w:type="dxa" w:w="2232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Warehouse</w:t>
            </w:r>
          </w:p>
        </w:tc>
        <w:tc>
          <w:tcPr>
            <w:tcW w:type="dxa" w:w="679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Separate, audited ACoA snapshot storage with reader views and least-privilege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Report Builder</w:t>
            </w:r>
          </w:p>
        </w:tc>
        <w:tc>
          <w:tcPr>
            <w:tcW w:type="dxa" w:w="679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Dependency health checks for self-reference and circular formula chains.</w:t>
            </w:r>
          </w:p>
        </w:tc>
      </w:tr>
      <w:tr>
        <w:trPr>
          <w:cantSplit/>
        </w:trPr>
        <w:tc>
          <w:tcPr>
            <w:tcW w:type="dxa" w:w="2232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18"/>
              </w:rPr>
              <w:t>Security</w:t>
            </w:r>
          </w:p>
        </w:tc>
        <w:tc>
          <w:tcPr>
            <w:tcW w:type="dxa" w:w="679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color w:val="242424"/>
                <w:sz w:val="18"/>
              </w:rPr>
              <w:t>Administrator authorization, read-only SQL validation, request tokens, bounded results, and separated warehouse roles.</w:t>
            </w:r>
          </w:p>
        </w:tc>
      </w:tr>
    </w:tbl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User facing enhancements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Limitless interface and navigation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Replaced the shared application shell with the compatible Limitless layout and Icomoon icon set.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Standardized page headers, navigation, cards, forms, tables, alerts, modals, validation feedback, and responsive behavior.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Kept the top navigation fixed while the page scrolls.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Made the left navigation independently scrollable and preserved its scroll position between page loads.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responsive sidebar and header controls for smaller screens.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Improved table containment, responsive overflow, DataTable controls, card collapse behavior, and fullscreen presentation.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Retained Windows-authenticated user context and existing report URLs.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Interactive home dashboard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Redesigned the default page as a responsive reporting workspace.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Dashboard and division tabs generated from configured sections.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report totals, division totals, Adhoc report totals, and direct access to the Adhoc catalogue.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report search within the active division.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Displays reports as consistent cards while preserving their configured navigation targets.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Automatically routes reports containing </w:t>
      </w:r>
      <w:r>
        <w:rPr>
          <w:rFonts w:ascii="Consolas" w:hAnsi="Consolas"/>
          <w:color w:val="000000"/>
          <w:sz w:val="18"/>
        </w:rPr>
        <w:t>AdhocQuery</w:t>
      </w:r>
      <w:r>
        <w:rPr>
          <w:rFonts w:ascii="Arial" w:hAnsi="Arial"/>
          <w:b w:val="0"/>
          <w:color w:val="000000"/>
          <w:sz w:val="20"/>
        </w:rPr>
        <w:t xml:space="preserve"> to the Adhoc Report page.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Retains the existing embedded Power BI reporting overview.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Adhoc Report workspace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an Adhoc report catalogue and on-demand report viewer.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administrator-only New Report and Edit Report modals.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Added an SQL editor for maintaining a single read-only </w:t>
      </w:r>
      <w:r>
        <w:rPr>
          <w:rFonts w:ascii="Consolas" w:hAnsi="Consolas"/>
          <w:color w:val="000000"/>
          <w:sz w:val="18"/>
        </w:rPr>
        <w:t>SELECT</w:t>
      </w:r>
      <w:r>
        <w:rPr>
          <w:rFonts w:ascii="Arial" w:hAnsi="Arial"/>
          <w:b w:val="0"/>
          <w:color w:val="000000"/>
          <w:sz w:val="20"/>
        </w:rPr>
        <w:t xml:space="preserve"> statement.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lazy loading and server-side paging, ordering, searching, and filtering.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distinct-value filters with multiple selection and an advanced filter modal covering all returned columns.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CSV and Excel export for matching rows, with a 100,000-row safety limit.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Redesigned the report table inside a responsive, contained card.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Made the Report Insights and DataTable cards collapsible; Report Insights is collapsed initially.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grouped insights including matching-row counts, distinct groups, totals, and leading values.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primary and secondary grouping, measure selection, and configurable top-result limits.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line, area, horizontal bar, column, mixed, pie, donut, and funnel charts.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ECharts, D3, and C3 rendering choices and a fullscreen modal showing all supported chart types.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Power BI views for Adhoc reports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Saving a new Adhoc report now creates a stable SQL view named:</w:t>
      </w:r>
    </w:p>
    <w:p>
      <w:pPr>
        <w:spacing w:before="20" w:after="100"/>
        <w:ind w:left="518"/>
      </w:pPr>
      <w:r>
        <w:rPr>
          <w:rFonts w:ascii="Consolas" w:hAnsi="Consolas"/>
          <w:color w:val="242424"/>
          <w:sz w:val="18"/>
        </w:rPr>
        <w:t>dbo.vw_AdhocReport_&lt;ReportID&gt;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Editing and saving an Adhoc report updates the same view with </w:t>
      </w:r>
      <w:r>
        <w:rPr>
          <w:rFonts w:ascii="Consolas" w:hAnsi="Consolas"/>
          <w:color w:val="000000"/>
          <w:sz w:val="18"/>
        </w:rPr>
        <w:t>CREATE OR ALTER VIEW</w:t>
      </w:r>
      <w:r>
        <w:rPr>
          <w:rFonts w:ascii="Arial" w:hAnsi="Arial"/>
          <w:b w:val="0"/>
          <w:color w:val="000000"/>
          <w:sz w:val="20"/>
        </w:rPr>
        <w:t>, preserving the stable Power BI object name and existing view permissions.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The report definition and SQL view are created or updated in one database transaction; neither change is retained if publishing fails.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The generated view name is displayed on the Adhoc Report page and returned by the save endpoint.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Consolas" w:hAnsi="Consolas"/>
          <w:color w:val="000000"/>
          <w:sz w:val="18"/>
        </w:rPr>
        <w:t>ORDER BY</w:t>
      </w:r>
      <w:r>
        <w:rPr>
          <w:rFonts w:ascii="Arial" w:hAnsi="Arial"/>
          <w:b w:val="0"/>
          <w:color w:val="000000"/>
          <w:sz w:val="20"/>
        </w:rPr>
        <w:t xml:space="preserve"> remains prohibited at the outermost query level because consumers control their own ordering.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Valid </w:t>
      </w:r>
      <w:r>
        <w:rPr>
          <w:rFonts w:ascii="Consolas" w:hAnsi="Consolas"/>
          <w:color w:val="000000"/>
          <w:sz w:val="18"/>
        </w:rPr>
        <w:t>ORDER BY</w:t>
      </w:r>
      <w:r>
        <w:rPr>
          <w:rFonts w:ascii="Arial" w:hAnsi="Arial"/>
          <w:b w:val="0"/>
          <w:color w:val="000000"/>
          <w:sz w:val="20"/>
        </w:rPr>
        <w:t xml:space="preserve"> clauses inside subqueries and window expressions are now accepted.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Existing Adhoc reports receive their Power BI view the next time they are edited and saved.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Advanced ACoA Report Renderer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Added a dedicated, administrator-only </w:t>
      </w:r>
      <w:r>
        <w:rPr>
          <w:rFonts w:ascii="Consolas" w:hAnsi="Consolas"/>
          <w:color w:val="000000"/>
          <w:sz w:val="18"/>
        </w:rPr>
        <w:t>ReportRender.aspx</w:t>
      </w:r>
      <w:r>
        <w:rPr>
          <w:rFonts w:ascii="Arial" w:hAnsi="Arial"/>
          <w:b w:val="0"/>
          <w:color w:val="000000"/>
          <w:sz w:val="20"/>
        </w:rPr>
        <w:t xml:space="preserve"> page.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Removed dependence on a selectable database-view catalogue for this workflow.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Executes </w:t>
      </w:r>
      <w:r>
        <w:rPr>
          <w:rFonts w:ascii="Consolas" w:hAnsi="Consolas"/>
          <w:color w:val="000000"/>
          <w:sz w:val="18"/>
        </w:rPr>
        <w:t>[dbo].[get_ACoA_Reports_Advance_v2]</w:t>
      </w:r>
      <w:r>
        <w:rPr>
          <w:rFonts w:ascii="Arial" w:hAnsi="Arial"/>
          <w:b w:val="0"/>
          <w:color w:val="000000"/>
          <w:sz w:val="20"/>
        </w:rPr>
        <w:t xml:space="preserve"> directly.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Exposes report, entity group/type, submission status, year range, quarter range, entity selection, and report-column selection parameters based on the ACoA report definition.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Provides three presentation modes:</w:t>
      </w:r>
    </w:p>
    <w:p>
      <w:pPr>
        <w:keepNext/>
        <w:widowControl/>
        <w:spacing w:after="50" w:line="254" w:lineRule="auto"/>
        <w:ind w:left="87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Dashboard</w:t>
      </w:r>
    </w:p>
    <w:p>
      <w:pPr>
        <w:keepNext/>
        <w:widowControl/>
        <w:spacing w:after="50" w:line="254" w:lineRule="auto"/>
        <w:ind w:left="87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Completed aggregated report</w:t>
      </w:r>
    </w:p>
    <w:p>
      <w:pPr>
        <w:widowControl/>
        <w:spacing w:after="50" w:line="254" w:lineRule="auto"/>
        <w:ind w:left="87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Detailed records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Supports optional grouping in detailed mode.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Adds dashboard KPIs, line-item trends, latest-period comparisons, and period-over-period indicators.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Applies configurable result limits to protect application responsiveness.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ACoA analytical warehouse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Added an administrator-only </w:t>
      </w:r>
      <w:r>
        <w:rPr>
          <w:rFonts w:ascii="Consolas" w:hAnsi="Consolas"/>
          <w:color w:val="000000"/>
          <w:sz w:val="18"/>
        </w:rPr>
        <w:t>ReportWarehouse.aspx</w:t>
      </w:r>
      <w:r>
        <w:rPr>
          <w:rFonts w:ascii="Arial" w:hAnsi="Arial"/>
          <w:b w:val="0"/>
          <w:color w:val="000000"/>
          <w:sz w:val="20"/>
        </w:rPr>
        <w:t xml:space="preserve"> page and reusable warehouse service.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Extracts data exclusively through </w:t>
      </w:r>
      <w:r>
        <w:rPr>
          <w:rFonts w:ascii="Consolas" w:hAnsi="Consolas"/>
          <w:color w:val="000000"/>
          <w:sz w:val="18"/>
        </w:rPr>
        <w:t>[dbo].[get_ACoA_Reports_Advance_v2]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Exposes the complete parameter set required for validation and warehouse loading.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Supports extraction validation before committing a load.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Stores snapshots in a separate SQL Server database and rejects configurations that point the source and warehouse connections to the same database.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Stores only rows where </w:t>
      </w:r>
      <w:r>
        <w:rPr>
          <w:rFonts w:ascii="Consolas" w:hAnsi="Consolas"/>
          <w:color w:val="000000"/>
          <w:sz w:val="18"/>
        </w:rPr>
        <w:t>LineItemValue</w:t>
      </w:r>
      <w:r>
        <w:rPr>
          <w:rFonts w:ascii="Arial" w:hAnsi="Arial"/>
          <w:b w:val="0"/>
          <w:color w:val="000000"/>
          <w:sz w:val="20"/>
        </w:rPr>
        <w:t xml:space="preserve"> is not database </w:t>
      </w:r>
      <w:r>
        <w:rPr>
          <w:rFonts w:ascii="Consolas" w:hAnsi="Consolas"/>
          <w:color w:val="000000"/>
          <w:sz w:val="18"/>
        </w:rPr>
        <w:t>NULL</w:t>
      </w:r>
      <w:r>
        <w:rPr>
          <w:rFonts w:ascii="Arial" w:hAnsi="Arial"/>
          <w:b w:val="0"/>
          <w:color w:val="000000"/>
          <w:sz w:val="20"/>
        </w:rPr>
        <w:t>; valid zero values are retained.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Records load batches, requested parameters, row counts, skipped-null counts, status, duration, requesting user, and failure details.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Uses a transaction for snapshot insertion and load completion updates.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Adds warehouse connectivity, schema, and permission health checks plus recent-load history.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Provides indexed fact storage and two reader-facing analytical views:</w:t>
      </w:r>
    </w:p>
    <w:p>
      <w:pPr>
        <w:keepNext/>
        <w:widowControl/>
        <w:spacing w:after="50" w:line="254" w:lineRule="auto"/>
        <w:ind w:left="87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Consolas" w:hAnsi="Consolas"/>
          <w:color w:val="000000"/>
          <w:sz w:val="18"/>
        </w:rPr>
        <w:t>[analytics].[vw_ACoAReportSnapshots]</w:t>
      </w:r>
    </w:p>
    <w:p>
      <w:pPr>
        <w:widowControl/>
        <w:spacing w:after="50" w:line="254" w:lineRule="auto"/>
        <w:ind w:left="87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Consolas" w:hAnsi="Consolas"/>
          <w:color w:val="000000"/>
          <w:sz w:val="18"/>
        </w:rPr>
        <w:t>[analytics].[vw_ACoAReportCurrent]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Provides separate least-privilege loader and reader database roles.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Includes architecture and scheduling guidance for Power BI and other analytical consumers.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Report Builder health and stability</w:t>
      </w:r>
    </w:p>
    <w:p>
      <w:pPr>
        <w:keepNext/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Added a Report Health check to the Report Builder.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Evaluates calculated and inherited line-item dependencies before a report is published or extracted.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Detects direct self-reference and multi-item circular dependency chains that could exceed SQL Server's nesting limit.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Shows a healthy, warning, or blocking diagnostic summary with the dependency path.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Highlights affected mappings directly in the builder.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Made report catalogue rendering tolerant of missing group, line-item type, or report-type relationships, preventing the earlier null-reference failure.</w:t>
      </w:r>
    </w:p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Security and deployment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Security and data safeguards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Adhoc report creation and editing are restricted to Reporting Suite administrators.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Advanced rendering and manual warehouse loading are restricted to administrators.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Adhoc saves use a session-bound request token.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Adhoc SQL is limited to one read-only </w:t>
      </w:r>
      <w:r>
        <w:rPr>
          <w:rFonts w:ascii="Consolas" w:hAnsi="Consolas"/>
          <w:color w:val="000000"/>
          <w:sz w:val="18"/>
        </w:rPr>
        <w:t>SELECT</w:t>
      </w:r>
      <w:r>
        <w:rPr>
          <w:rFonts w:ascii="Arial" w:hAnsi="Arial"/>
          <w:b w:val="0"/>
          <w:color w:val="000000"/>
          <w:sz w:val="20"/>
        </w:rPr>
        <w:t>; data-changing, DDL, execution, and external data-source keywords are rejected.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Column names used for filtering and ordering are obtained from inspected result metadata and quoted by the application.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Warehouse source and destination databases are verified as separate databases.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Warehouse write and analytical read permissions are separated into database roles.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Error responses avoid returning connection credentials or raw database exception details to the browser.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Deployment requirements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1.  </w:t>
      </w:r>
      <w:r>
        <w:rPr>
          <w:rFonts w:ascii="Arial" w:hAnsi="Arial"/>
          <w:b w:val="0"/>
          <w:color w:val="000000"/>
          <w:sz w:val="20"/>
        </w:rPr>
        <w:t>Deploy the rebuilt application files, including the Limitless assets, updated master page, new pages, handlers, services, scripts, and styles.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2.  </w:t>
      </w:r>
      <w:r>
        <w:rPr>
          <w:rFonts w:ascii="Arial" w:hAnsi="Arial"/>
          <w:b w:val="0"/>
          <w:color w:val="000000"/>
          <w:sz w:val="20"/>
        </w:rPr>
        <w:t>Confirm the application targets .NET Framework 4.8 and that Windows authentication is enabled in IIS.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3.  </w:t>
      </w:r>
      <w:r>
        <w:rPr>
          <w:rFonts w:ascii="Arial" w:hAnsi="Arial"/>
          <w:b w:val="0"/>
          <w:color w:val="000000"/>
          <w:sz w:val="20"/>
        </w:rPr>
        <w:t xml:space="preserve">Confirm the </w:t>
      </w:r>
      <w:r>
        <w:rPr>
          <w:rFonts w:ascii="Consolas" w:hAnsi="Consolas"/>
          <w:color w:val="000000"/>
          <w:sz w:val="18"/>
        </w:rPr>
        <w:t>dbo.Reports.AdhocQuery</w:t>
      </w:r>
      <w:r>
        <w:rPr>
          <w:rFonts w:ascii="Arial" w:hAnsi="Arial"/>
          <w:b w:val="0"/>
          <w:color w:val="000000"/>
          <w:sz w:val="20"/>
        </w:rPr>
        <w:t xml:space="preserve"> column exists as </w:t>
      </w:r>
      <w:r>
        <w:rPr>
          <w:rFonts w:ascii="Consolas" w:hAnsi="Consolas"/>
          <w:color w:val="000000"/>
          <w:sz w:val="18"/>
        </w:rPr>
        <w:t>varchar(max)</w:t>
      </w:r>
      <w:r>
        <w:rPr>
          <w:rFonts w:ascii="Arial" w:hAnsi="Arial"/>
          <w:b w:val="0"/>
          <w:color w:val="000000"/>
          <w:sz w:val="20"/>
        </w:rPr>
        <w:t xml:space="preserve"> or a compatible large text type.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4.  </w:t>
      </w:r>
      <w:r>
        <w:rPr>
          <w:rFonts w:ascii="Arial" w:hAnsi="Arial"/>
          <w:b w:val="0"/>
          <w:color w:val="000000"/>
          <w:sz w:val="20"/>
        </w:rPr>
        <w:t>Grant the Reporting Suite application database principal the permissions required to publish Adhoc views: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Consolas" w:hAnsi="Consolas"/>
          <w:color w:val="000000"/>
          <w:sz w:val="18"/>
        </w:rPr>
        <w:t>CREATE VIEW</w:t>
      </w:r>
      <w:r>
        <w:rPr>
          <w:rFonts w:ascii="Arial" w:hAnsi="Arial"/>
          <w:b w:val="0"/>
          <w:color w:val="000000"/>
          <w:sz w:val="20"/>
        </w:rPr>
        <w:t xml:space="preserve"> in the ReportingSuite database.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Consolas" w:hAnsi="Consolas"/>
          <w:color w:val="000000"/>
          <w:sz w:val="18"/>
        </w:rPr>
        <w:t>ALTER</w:t>
      </w:r>
      <w:r>
        <w:rPr>
          <w:rFonts w:ascii="Arial" w:hAnsi="Arial"/>
          <w:b w:val="0"/>
          <w:color w:val="000000"/>
          <w:sz w:val="20"/>
        </w:rPr>
        <w:t xml:space="preserve"> on schema </w:t>
      </w:r>
      <w:r>
        <w:rPr>
          <w:rFonts w:ascii="Consolas" w:hAnsi="Consolas"/>
          <w:color w:val="000000"/>
          <w:sz w:val="18"/>
        </w:rPr>
        <w:t>dbo</w:t>
      </w:r>
      <w:r>
        <w:rPr>
          <w:rFonts w:ascii="Arial" w:hAnsi="Arial"/>
          <w:b w:val="0"/>
          <w:color w:val="000000"/>
          <w:sz w:val="20"/>
        </w:rPr>
        <w:t>, or an equivalent DBA-managed publishing arrangement.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5.  </w:t>
      </w:r>
      <w:r>
        <w:rPr>
          <w:rFonts w:ascii="Arial" w:hAnsi="Arial"/>
          <w:b w:val="0"/>
          <w:color w:val="000000"/>
          <w:sz w:val="20"/>
        </w:rPr>
        <w:t xml:space="preserve">Grant the Power BI database principal read-only </w:t>
      </w:r>
      <w:r>
        <w:rPr>
          <w:rFonts w:ascii="Consolas" w:hAnsi="Consolas"/>
          <w:color w:val="000000"/>
          <w:sz w:val="18"/>
        </w:rPr>
        <w:t>SELECT</w:t>
      </w:r>
      <w:r>
        <w:rPr>
          <w:rFonts w:ascii="Arial" w:hAnsi="Arial"/>
          <w:b w:val="0"/>
          <w:color w:val="000000"/>
          <w:sz w:val="20"/>
        </w:rPr>
        <w:t xml:space="preserve"> permission on the published Adhoc views. Do not grant it Adhoc report maintenance permissions.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6.  </w:t>
      </w:r>
      <w:r>
        <w:rPr>
          <w:rFonts w:ascii="Arial" w:hAnsi="Arial"/>
          <w:b w:val="0"/>
          <w:color w:val="000000"/>
          <w:sz w:val="20"/>
        </w:rPr>
        <w:t xml:space="preserve">Create and configure a separate warehouse database by applying </w:t>
      </w:r>
      <w:r>
        <w:rPr>
          <w:rFonts w:ascii="Consolas" w:hAnsi="Consolas"/>
          <w:color w:val="000000"/>
          <w:sz w:val="18"/>
        </w:rPr>
        <w:t>Database/ReportingWarehouse.sql</w:t>
      </w:r>
      <w:r>
        <w:rPr>
          <w:rFonts w:ascii="Arial" w:hAnsi="Arial"/>
          <w:b w:val="0"/>
          <w:color w:val="000000"/>
          <w:sz w:val="20"/>
        </w:rPr>
        <w:t xml:space="preserve"> while connected to that warehouse database—not to ReportingSuite.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7.  </w:t>
      </w:r>
      <w:r>
        <w:rPr>
          <w:rFonts w:ascii="Arial" w:hAnsi="Arial"/>
          <w:b w:val="0"/>
          <w:color w:val="000000"/>
          <w:sz w:val="20"/>
        </w:rPr>
        <w:t xml:space="preserve">Configure the </w:t>
      </w:r>
      <w:r>
        <w:rPr>
          <w:rFonts w:ascii="Consolas" w:hAnsi="Consolas"/>
          <w:color w:val="000000"/>
          <w:sz w:val="18"/>
        </w:rPr>
        <w:t>ReportingWarehouse</w:t>
      </w:r>
      <w:r>
        <w:rPr>
          <w:rFonts w:ascii="Arial" w:hAnsi="Arial"/>
          <w:b w:val="0"/>
          <w:color w:val="000000"/>
          <w:sz w:val="20"/>
        </w:rPr>
        <w:t xml:space="preserve"> connection string securely for the IIS application.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8.  </w:t>
      </w:r>
      <w:r>
        <w:rPr>
          <w:rFonts w:ascii="Arial" w:hAnsi="Arial"/>
          <w:b w:val="0"/>
          <w:color w:val="000000"/>
          <w:sz w:val="20"/>
        </w:rPr>
        <w:t xml:space="preserve">Create the appropriate SQL Server login/database user and add only the loader identity to </w:t>
      </w:r>
      <w:r>
        <w:rPr>
          <w:rFonts w:ascii="Consolas" w:hAnsi="Consolas"/>
          <w:color w:val="000000"/>
          <w:sz w:val="18"/>
        </w:rPr>
        <w:t>ReportingWarehouseLoader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9.  </w:t>
      </w:r>
      <w:r>
        <w:rPr>
          <w:rFonts w:ascii="Arial" w:hAnsi="Arial"/>
          <w:b w:val="0"/>
          <w:color w:val="000000"/>
          <w:sz w:val="20"/>
        </w:rPr>
        <w:t xml:space="preserve">Add Power BI or analytical reader identities to </w:t>
      </w:r>
      <w:r>
        <w:rPr>
          <w:rFonts w:ascii="Consolas" w:hAnsi="Consolas"/>
          <w:color w:val="000000"/>
          <w:sz w:val="18"/>
        </w:rPr>
        <w:t>ReportingWarehouseReader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10.  </w:t>
      </w:r>
      <w:r>
        <w:rPr>
          <w:rFonts w:ascii="Arial" w:hAnsi="Arial"/>
          <w:b w:val="0"/>
          <w:color w:val="000000"/>
          <w:sz w:val="20"/>
        </w:rPr>
        <w:t xml:space="preserve">Protect production connection strings outside source control and apply the production configuration transform, including </w:t>
      </w:r>
      <w:r>
        <w:rPr>
          <w:rFonts w:ascii="Consolas" w:hAnsi="Consolas"/>
          <w:color w:val="000000"/>
          <w:sz w:val="18"/>
        </w:rPr>
        <w:t>debug="false"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Compatibility and operational notes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Existing report URLs and standard report rendering routes are preserved.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Existing Adhoc reports are not bulk-published automatically; save each report once to create its stable Power BI view.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SQL Server must support </w:t>
      </w:r>
      <w:r>
        <w:rPr>
          <w:rFonts w:ascii="Consolas" w:hAnsi="Consolas"/>
          <w:color w:val="000000"/>
          <w:sz w:val="18"/>
        </w:rPr>
        <w:t>CREATE OR ALTER VIEW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 SQL view does not guarantee row order. Power BI should apply its required sorting explicitly.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Cross-database Adhoc queries may require the Power BI identity to have access to referenced databases, depending on ownership chaining and database security configuration.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The application identity needs view-publishing permission only if views are created at runtime. A future dedicated reporting schema would allow narrower permissions than </w:t>
      </w:r>
      <w:r>
        <w:rPr>
          <w:rFonts w:ascii="Consolas" w:hAnsi="Consolas"/>
          <w:color w:val="000000"/>
          <w:sz w:val="18"/>
        </w:rPr>
        <w:t>ALTER</w:t>
      </w:r>
      <w:r>
        <w:rPr>
          <w:rFonts w:ascii="Arial" w:hAnsi="Arial"/>
          <w:b w:val="0"/>
          <w:color w:val="000000"/>
          <w:sz w:val="20"/>
        </w:rPr>
        <w:t xml:space="preserve"> on </w:t>
      </w:r>
      <w:r>
        <w:rPr>
          <w:rFonts w:ascii="Consolas" w:hAnsi="Consolas"/>
          <w:color w:val="000000"/>
          <w:sz w:val="18"/>
        </w:rPr>
        <w:t>dbo</w:t>
      </w:r>
      <w:r>
        <w:rPr>
          <w:rFonts w:ascii="Arial" w:hAnsi="Arial"/>
          <w:b w:val="0"/>
          <w:color w:val="000000"/>
          <w:sz w:val="20"/>
        </w:rPr>
        <w:t>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The warehouse page supports manual validation and loading. Recurring scheduling must be implemented through a protected background worker, SQL Agent-compatible process, or enterprise scheduler; the web page itself should not be automated.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Warehouse snapshots are append-only analytical records. Retention and purge policy should be agreed before long-term scheduled loading begins.</w:t>
      </w:r>
    </w:p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Validation and user acceptance testing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Validation completed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The ReportingSuite project rebuild completed successfully under .NET Framework 4.8.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Adhoc SQL validation was checked for nested subquery ordering, window ordering, top-level ordering, comments, and string literals.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SQL Server view publishing was verified with a nested ordered query inside a transaction; the verification object was rolled back and no test view remained.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Warehouse code validates the stored-procedure result contract before writing data.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The optional full ASP.NET precompilation check could not complete on the development workstation because its machine-level ASP.NET configuration references the unavailable </w:t>
      </w:r>
      <w:r>
        <w:rPr>
          <w:rFonts w:ascii="Consolas" w:hAnsi="Consolas"/>
          <w:color w:val="000000"/>
          <w:sz w:val="18"/>
        </w:rPr>
        <w:t>System.Data.Entity.Design.AspNet.EntityDesignerBuildProvider</w:t>
      </w:r>
      <w:r>
        <w:rPr>
          <w:rFonts w:ascii="Arial" w:hAnsi="Arial"/>
          <w:b w:val="0"/>
          <w:color w:val="000000"/>
          <w:sz w:val="20"/>
        </w:rPr>
        <w:t>. This is an environment prerequisite and was not introduced by the release.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Recommended user acceptance tests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1.  </w:t>
      </w:r>
      <w:r>
        <w:rPr>
          <w:rFonts w:ascii="Arial" w:hAnsi="Arial"/>
          <w:b w:val="0"/>
          <w:color w:val="000000"/>
          <w:sz w:val="20"/>
        </w:rPr>
        <w:t>Verify the fixed header and independently scrollable navigation on desktop and mobile-width screens.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2.  </w:t>
      </w:r>
      <w:r>
        <w:rPr>
          <w:rFonts w:ascii="Arial" w:hAnsi="Arial"/>
          <w:b w:val="0"/>
          <w:color w:val="000000"/>
          <w:sz w:val="20"/>
        </w:rPr>
        <w:t>Open reports from the dashboard, division tabs, and sidebar and confirm existing routes are unchanged.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3.  </w:t>
      </w:r>
      <w:r>
        <w:rPr>
          <w:rFonts w:ascii="Arial" w:hAnsi="Arial"/>
          <w:b w:val="0"/>
          <w:color w:val="000000"/>
          <w:sz w:val="20"/>
        </w:rPr>
        <w:t xml:space="preserve">Create an Adhoc report with an ordered </w:t>
      </w:r>
      <w:r>
        <w:rPr>
          <w:rFonts w:ascii="Consolas" w:hAnsi="Consolas"/>
          <w:color w:val="000000"/>
          <w:sz w:val="18"/>
        </w:rPr>
        <w:t>TOP</w:t>
      </w:r>
      <w:r>
        <w:rPr>
          <w:rFonts w:ascii="Arial" w:hAnsi="Arial"/>
          <w:b w:val="0"/>
          <w:color w:val="000000"/>
          <w:sz w:val="20"/>
        </w:rPr>
        <w:t xml:space="preserve"> subquery or </w:t>
      </w:r>
      <w:r>
        <w:rPr>
          <w:rFonts w:ascii="Consolas" w:hAnsi="Consolas"/>
          <w:color w:val="000000"/>
          <w:sz w:val="18"/>
        </w:rPr>
        <w:t>ROW_NUMBER() OVER (ORDER BY ...)</w:t>
      </w:r>
      <w:r>
        <w:rPr>
          <w:rFonts w:ascii="Arial" w:hAnsi="Arial"/>
          <w:b w:val="0"/>
          <w:color w:val="000000"/>
          <w:sz w:val="20"/>
        </w:rPr>
        <w:t xml:space="preserve"> and confirm the report saves.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4.  </w:t>
      </w:r>
      <w:r>
        <w:rPr>
          <w:rFonts w:ascii="Arial" w:hAnsi="Arial"/>
          <w:b w:val="0"/>
          <w:color w:val="000000"/>
          <w:sz w:val="20"/>
        </w:rPr>
        <w:t xml:space="preserve">Confirm an outermost </w:t>
      </w:r>
      <w:r>
        <w:rPr>
          <w:rFonts w:ascii="Consolas" w:hAnsi="Consolas"/>
          <w:color w:val="000000"/>
          <w:sz w:val="18"/>
        </w:rPr>
        <w:t>ORDER BY</w:t>
      </w:r>
      <w:r>
        <w:rPr>
          <w:rFonts w:ascii="Arial" w:hAnsi="Arial"/>
          <w:b w:val="0"/>
          <w:color w:val="000000"/>
          <w:sz w:val="20"/>
        </w:rPr>
        <w:t xml:space="preserve"> is rejected with a clear validation message.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5.  </w:t>
      </w:r>
      <w:r>
        <w:rPr>
          <w:rFonts w:ascii="Arial" w:hAnsi="Arial"/>
          <w:b w:val="0"/>
          <w:color w:val="000000"/>
          <w:sz w:val="20"/>
        </w:rPr>
        <w:t xml:space="preserve">Confirm the corresponding </w:t>
      </w:r>
      <w:r>
        <w:rPr>
          <w:rFonts w:ascii="Consolas" w:hAnsi="Consolas"/>
          <w:color w:val="000000"/>
          <w:sz w:val="18"/>
        </w:rPr>
        <w:t>dbo.vw_AdhocReport_&lt;ReportID&gt;</w:t>
      </w:r>
      <w:r>
        <w:rPr>
          <w:rFonts w:ascii="Arial" w:hAnsi="Arial"/>
          <w:b w:val="0"/>
          <w:color w:val="000000"/>
          <w:sz w:val="20"/>
        </w:rPr>
        <w:t xml:space="preserve"> view is created and readable by the intended Power BI identity.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6.  </w:t>
      </w:r>
      <w:r>
        <w:rPr>
          <w:rFonts w:ascii="Arial" w:hAnsi="Arial"/>
          <w:b w:val="0"/>
          <w:color w:val="000000"/>
          <w:sz w:val="20"/>
        </w:rPr>
        <w:t>Exercise paging, simple and advanced multi-select filters, insights, secondary grouping, every chart type, collapse/fullscreen behavior, and CSV/Excel export.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7.  </w:t>
      </w:r>
      <w:r>
        <w:rPr>
          <w:rFonts w:ascii="Arial" w:hAnsi="Arial"/>
          <w:b w:val="0"/>
          <w:color w:val="000000"/>
          <w:sz w:val="20"/>
        </w:rPr>
        <w:t>Run the ACoA renderer in dashboard, aggregate, and detail modes across representative parameter combinations.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8.  </w:t>
      </w:r>
      <w:r>
        <w:rPr>
          <w:rFonts w:ascii="Arial" w:hAnsi="Arial"/>
          <w:b w:val="0"/>
          <w:color w:val="000000"/>
          <w:sz w:val="20"/>
        </w:rPr>
        <w:t>Validate a warehouse extract, load a controlled snapshot, reconcile extracted/loaded/skipped counts, and query both analytical views.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9.  </w:t>
      </w:r>
      <w:r>
        <w:rPr>
          <w:rFonts w:ascii="Arial" w:hAnsi="Arial"/>
          <w:b w:val="0"/>
          <w:color w:val="000000"/>
          <w:sz w:val="20"/>
        </w:rPr>
        <w:t>Open a healthy report and a deliberately recursive test report in Builder and verify the health status and dependency path.</w:t>
      </w:r>
    </w:p>
    <w:p>
      <w:pPr>
        <w:widowControl/>
        <w:spacing w:after="60" w:line="254" w:lineRule="auto"/>
        <w:ind w:left="547" w:hanging="547"/>
        <w:jc w:val="left"/>
      </w:pPr>
      <w:r>
        <w:rPr>
          <w:rFonts w:ascii="Arial" w:hAnsi="Arial"/>
          <w:color w:val="242424"/>
          <w:sz w:val="20"/>
        </w:rPr>
        <w:t xml:space="preserve">10.  </w:t>
      </w:r>
      <w:r>
        <w:rPr>
          <w:rFonts w:ascii="Arial" w:hAnsi="Arial"/>
          <w:b w:val="0"/>
          <w:color w:val="000000"/>
          <w:sz w:val="20"/>
        </w:rPr>
        <w:t>Confirm non-administrators cannot access report maintenance, advanced renderer, or warehouse loading functions.</w:t>
      </w:r>
    </w:p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Implementation and rollback</w:t>
      </w:r>
    </w:p>
    <w:p>
      <w:pPr>
        <w:pStyle w:val="Heading2"/>
        <w:keepNext/>
        <w:pageBreakBefore w:val="0"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Primary implementation 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507"/>
        <w:gridCol w:w="4507"/>
      </w:tblGrid>
      <w:tr>
        <w:trPr>
          <w:tblHeader w:val="true"/>
        </w:trPr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Application and interface</w:t>
            </w:r>
          </w:p>
        </w:tc>
        <w:tc>
          <w:tcPr>
            <w:tcW w:type="dxa" w:w="4680"/>
            <w:shd w:fill="967B2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Services and data</w:t>
            </w:r>
          </w:p>
        </w:tc>
      </w:tr>
      <w:tr>
        <w:trPr>
          <w:cantSplit/>
        </w:trPr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Site.Master, Site.Master.vb</w:t>
            </w:r>
          </w:p>
        </w:tc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AdhocReportService.vb</w:t>
            </w:r>
          </w:p>
        </w:tc>
      </w:tr>
      <w:tr>
        <w:trPr>
          <w:cantSplit/>
        </w:trPr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Content/reporting-suite-limitless.css</w:t>
            </w:r>
          </w:p>
        </w:tc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ACoAReportWarehouseService.vb</w:t>
            </w:r>
          </w:p>
        </w:tc>
      </w:tr>
      <w:tr>
        <w:trPr>
          <w:cantSplit/>
        </w:trPr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Scripts/reporting-suite-limitless.js</w:t>
            </w:r>
          </w:p>
        </w:tc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ReportHealthService.vb</w:t>
            </w:r>
          </w:p>
        </w:tc>
      </w:tr>
      <w:tr>
        <w:trPr>
          <w:cantSplit/>
        </w:trPr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Default.aspx, Default.aspx.vb, Scripts/reporting-dashboard.js</w:t>
            </w:r>
          </w:p>
        </w:tc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Database/ReportingWarehouse.sql</w:t>
            </w:r>
          </w:p>
        </w:tc>
      </w:tr>
      <w:tr>
        <w:trPr>
          <w:cantSplit/>
        </w:trPr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AdhocReport.aspx, AdhocReport.aspx.vb</w:t>
            </w:r>
          </w:p>
        </w:tc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Database/ACoA-Warehouse-Architecture.md</w:t>
            </w:r>
          </w:p>
        </w:tc>
      </w:tr>
      <w:tr>
        <w:trPr>
          <w:cantSplit/>
        </w:trPr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AdhocReportData.ashx, AdhocReportData.ashx.vb</w:t>
            </w:r>
          </w:p>
        </w:tc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Data.edmx, Report.vb</w:t>
            </w:r>
          </w:p>
        </w:tc>
      </w:tr>
      <w:tr>
        <w:trPr>
          <w:cantSplit/>
        </w:trPr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ReportRender.aspx, ReportRender.aspx.vb</w:t>
            </w:r>
          </w:p>
        </w:tc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ReportingSuite.vbproj</w:t>
            </w:r>
          </w:p>
        </w:tc>
      </w:tr>
      <w:tr>
        <w:trPr>
          <w:cantSplit/>
        </w:trPr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ReportWarehouse.aspx, ReportWarehouse.aspx.vb</w:t>
            </w:r>
          </w:p>
        </w:tc>
        <w:tc>
          <w:tcPr>
            <w:tcW w:type="dxa" w:w="4507"/>
            <w:shd w:fill="F4F4F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</w:r>
          </w:p>
        </w:tc>
      </w:tr>
      <w:tr>
        <w:trPr>
          <w:cantSplit/>
        </w:trPr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  <w:t>Builder.aspx, Builder.aspx.vb</w:t>
            </w:r>
          </w:p>
        </w:tc>
        <w:tc>
          <w:tcPr>
            <w:tcW w:type="dxa" w:w="450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/>
                <w:b w:val="0"/>
                <w:color w:val="242424"/>
                <w:sz w:val="17"/>
              </w:rPr>
            </w:r>
          </w:p>
        </w:tc>
      </w:tr>
    </w:tbl>
    <w:p>
      <w:pPr>
        <w:pStyle w:val="Heading2"/>
        <w:keepNext/>
        <w:pageBreakBefore/>
        <w:widowControl/>
        <w:spacing w:before="200" w:after="80"/>
      </w:pPr>
      <w:r>
        <w:rPr>
          <w:rFonts w:ascii="Arial" w:hAnsi="Arial"/>
          <w:b/>
          <w:color w:val="000000"/>
          <w:sz w:val="26"/>
        </w:rPr>
        <w:t>Rollback considerations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Retain a backup of the application directory and ReportingSuite database before deployment.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 xml:space="preserve">Re-deploying the previous application build does not remove generated </w:t>
      </w:r>
      <w:r>
        <w:rPr>
          <w:rFonts w:ascii="Consolas" w:hAnsi="Consolas"/>
          <w:color w:val="000000"/>
          <w:sz w:val="18"/>
        </w:rPr>
        <w:t>dbo.vw_AdhocReport_&lt;ReportID&gt;</w:t>
      </w:r>
      <w:r>
        <w:rPr>
          <w:rFonts w:ascii="Arial" w:hAnsi="Arial"/>
          <w:b w:val="0"/>
          <w:color w:val="000000"/>
          <w:sz w:val="20"/>
        </w:rPr>
        <w:t xml:space="preserve"> views or warehouse snapshots.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If view removal is required, review Power BI dependencies and remove only explicitly approved view objects.</w:t>
      </w:r>
    </w:p>
    <w:p>
      <w:pPr>
        <w:widowControl/>
        <w:spacing w:after="50" w:line="254" w:lineRule="auto"/>
        <w:ind w:left="518" w:hanging="259"/>
        <w:jc w:val="left"/>
      </w:pPr>
      <w:r>
        <w:rPr>
          <w:rFonts w:ascii="Arial" w:hAnsi="Arial"/>
          <w:b/>
          <w:color w:val="967B22"/>
          <w:sz w:val="20"/>
        </w:rPr>
        <w:t xml:space="preserve">•  </w:t>
      </w:r>
      <w:r>
        <w:rPr>
          <w:rFonts w:ascii="Arial" w:hAnsi="Arial"/>
          <w:b w:val="0"/>
          <w:color w:val="000000"/>
          <w:sz w:val="20"/>
        </w:rPr>
        <w:t>Warehouse rollback should preserve load-batch audit records unless the business owner approves deletion under the warehouse retention policy.</w:t>
      </w:r>
    </w:p>
    <w:p>
      <w:pPr>
        <w:pStyle w:val="Heading1"/>
        <w:keepNext/>
        <w:pageBreakBefore w:val="0"/>
        <w:widowControl/>
        <w:spacing w:before="320" w:after="120"/>
      </w:pPr>
      <w:r>
        <w:rPr>
          <w:rFonts w:ascii="Arial" w:hAnsi="Arial"/>
          <w:b/>
          <w:color w:val="000000"/>
          <w:sz w:val="32"/>
        </w:rPr>
        <w:t>Release approval</w:t>
      </w:r>
    </w:p>
    <w:p>
      <w:pPr>
        <w:widowControl/>
        <w:spacing w:before="0" w:after="360" w:line="259" w:lineRule="auto"/>
        <w:jc w:val="left"/>
      </w:pPr>
      <w:r>
        <w:rPr>
          <w:rFonts w:ascii="Arial" w:hAnsi="Arial"/>
          <w:b w:val="0"/>
          <w:color w:val="000000"/>
          <w:sz w:val="21"/>
        </w:rPr>
        <w:t>Use this section to record the release decision after deployment readiness and user acceptance testing have been reviewed.</w:t>
      </w:r>
    </w:p>
    <w:p>
      <w:pPr>
        <w:spacing w:after="360"/>
      </w:pPr>
      <w:r>
        <w:rPr>
          <w:rFonts w:ascii="Arial" w:hAnsi="Arial"/>
          <w:b/>
          <w:color w:val="242424"/>
          <w:sz w:val="22"/>
        </w:rPr>
        <w:t>Manager  Business Systems and Services</w:t>
      </w:r>
    </w:p>
    <w:p>
      <w:pPr>
        <w:spacing w:after="360"/>
        <w:pBdr>
          <w:bottom w:val="single" w:sz="6" w:space="2" w:color="000000"/>
        </w:pBdr>
      </w:pPr>
    </w:p>
    <w:p>
      <w:pPr>
        <w:spacing w:after="160"/>
      </w:pPr>
      <w:r>
        <w:rPr>
          <w:rFonts w:ascii="Arial" w:hAnsi="Arial"/>
          <w:b/>
          <w:color w:val="242424"/>
          <w:sz w:val="22"/>
        </w:rPr>
        <w:t>Comments</w:t>
      </w:r>
    </w:p>
    <w:p>
      <w:pPr>
        <w:spacing w:after="200"/>
        <w:pBdr>
          <w:bottom w:val="single" w:sz="4" w:space="2" w:color="7F7F7F"/>
        </w:pBdr>
      </w:pPr>
    </w:p>
    <w:p>
      <w:pPr>
        <w:spacing w:after="200"/>
        <w:pBdr>
          <w:bottom w:val="single" w:sz="4" w:space="2" w:color="7F7F7F"/>
        </w:pBdr>
      </w:pPr>
    </w:p>
    <w:p>
      <w:pPr>
        <w:spacing w:after="200"/>
        <w:pBdr>
          <w:bottom w:val="single" w:sz="4" w:space="2" w:color="7F7F7F"/>
        </w:pBdr>
      </w:pPr>
    </w:p>
    <w:p>
      <w:pPr>
        <w:spacing w:before="240" w:after="480"/>
      </w:pPr>
      <w:r>
        <w:rPr>
          <w:rFonts w:ascii="Arial" w:hAnsi="Arial"/>
          <w:b/>
          <w:color w:val="242424"/>
          <w:sz w:val="24"/>
        </w:rPr>
        <w:t>Approved  /  Not Approved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56"/>
        <w:gridCol w:w="3744"/>
      </w:tblGrid>
      <w:tr>
        <w:tc>
          <w:tcPr>
            <w:tcW w:type="dxa" w:w="4680"/>
            <w:tcMar>
              <w:top w:w="40" w:type="dxa"/>
              <w:start w:w="0" w:type="dxa"/>
              <w:bottom w:w="40" w:type="dxa"/>
              <w:end w:w="120" w:type="dxa"/>
            </w:tcMar>
          </w:tcPr>
          <w:p>
            <w:pPr>
              <w:spacing w:after="80"/>
              <w:pBdr>
                <w:bottom w:val="single" w:sz="6" w:space="2" w:color="000000"/>
              </w:pBdr>
            </w:pPr>
          </w:p>
        </w:tc>
        <w:tc>
          <w:tcPr>
            <w:tcW w:type="dxa" w:w="4680"/>
            <w:tcMar>
              <w:top w:w="40" w:type="dxa"/>
              <w:start w:w="0" w:type="dxa"/>
              <w:bottom w:w="40" w:type="dxa"/>
              <w:end w:w="120" w:type="dxa"/>
            </w:tcMar>
          </w:tcPr>
          <w:p>
            <w:pPr>
              <w:spacing w:after="80"/>
              <w:pBdr>
                <w:bottom w:val="single" w:sz="6" w:space="2" w:color="000000"/>
              </w:pBdr>
            </w:pPr>
          </w:p>
        </w:tc>
      </w:tr>
      <w:tr>
        <w:tc>
          <w:tcPr>
            <w:tcW w:type="dxa" w:w="46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21"/>
              </w:rPr>
              <w:t>GM ICT and Sponsor</w:t>
            </w:r>
          </w:p>
        </w:tc>
        <w:tc>
          <w:tcPr>
            <w:tcW w:type="dxa" w:w="4680"/>
            <w:tcMar>
              <w:top w:w="95" w:type="dxa"/>
              <w:start w:w="115" w:type="dxa"/>
              <w:bottom w:w="95" w:type="dxa"/>
              <w:end w:w="11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color w:val="242424"/>
                <w:sz w:val="21"/>
              </w:rPr>
              <w:t>Date</w:t>
            </w:r>
          </w:p>
        </w:tc>
      </w:tr>
    </w:tbl>
    <w:sectPr w:rsidR="00E86E52" w:rsidRPr="00B77A27" w:rsidSect="007D5FA6">
      <w:footerReference w:type="default" r:id="rId9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1BBA" w14:textId="77777777" w:rsidR="00C06115" w:rsidRDefault="00C06115" w:rsidP="00B36601">
      <w:pPr>
        <w:spacing w:after="0" w:line="240" w:lineRule="auto"/>
      </w:pPr>
      <w:r>
        <w:separator/>
      </w:r>
    </w:p>
  </w:endnote>
  <w:endnote w:type="continuationSeparator" w:id="0">
    <w:p w14:paraId="19B6D19C" w14:textId="77777777" w:rsidR="00C06115" w:rsidRDefault="00C06115" w:rsidP="00B36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0215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D04F7C" w14:textId="77777777" w:rsidR="008052CC" w:rsidRDefault="008052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67DAF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08860E8F" w14:textId="77777777" w:rsidR="008052CC" w:rsidRDefault="008052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1F894" w14:textId="77777777" w:rsidR="00C06115" w:rsidRDefault="00C06115" w:rsidP="00B36601">
      <w:pPr>
        <w:spacing w:after="0" w:line="240" w:lineRule="auto"/>
      </w:pPr>
      <w:r>
        <w:separator/>
      </w:r>
    </w:p>
  </w:footnote>
  <w:footnote w:type="continuationSeparator" w:id="0">
    <w:p w14:paraId="41C4DCF3" w14:textId="77777777" w:rsidR="00C06115" w:rsidRDefault="00C06115" w:rsidP="00B366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61E73"/>
    <w:multiLevelType w:val="multilevel"/>
    <w:tmpl w:val="ADA2A8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0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04" w:hanging="2160"/>
      </w:pPr>
      <w:rPr>
        <w:rFonts w:hint="default"/>
      </w:rPr>
    </w:lvl>
  </w:abstractNum>
  <w:abstractNum w:abstractNumId="1" w15:restartNumberingAfterBreak="0">
    <w:nsid w:val="120155AD"/>
    <w:multiLevelType w:val="multilevel"/>
    <w:tmpl w:val="437C4D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896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8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3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712" w:hanging="2160"/>
      </w:pPr>
      <w:rPr>
        <w:rFonts w:hint="default"/>
      </w:rPr>
    </w:lvl>
  </w:abstractNum>
  <w:abstractNum w:abstractNumId="2" w15:restartNumberingAfterBreak="0">
    <w:nsid w:val="203D6F06"/>
    <w:multiLevelType w:val="hybridMultilevel"/>
    <w:tmpl w:val="1E306B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54A54"/>
    <w:multiLevelType w:val="multilevel"/>
    <w:tmpl w:val="985ED3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2D974031"/>
    <w:multiLevelType w:val="hybridMultilevel"/>
    <w:tmpl w:val="9360661A"/>
    <w:lvl w:ilvl="0" w:tplc="FECC85AA">
      <w:start w:val="130"/>
      <w:numFmt w:val="bullet"/>
      <w:lvlText w:val="-"/>
      <w:lvlJc w:val="left"/>
      <w:pPr>
        <w:ind w:left="1080" w:hanging="360"/>
      </w:pPr>
      <w:rPr>
        <w:rFonts w:ascii="Verdana" w:eastAsiaTheme="minorEastAsia" w:hAnsi="Verdan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901168E"/>
    <w:multiLevelType w:val="hybridMultilevel"/>
    <w:tmpl w:val="DFA098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B2DFF"/>
    <w:multiLevelType w:val="multilevel"/>
    <w:tmpl w:val="B470BC10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61FC5A4B"/>
    <w:multiLevelType w:val="multilevel"/>
    <w:tmpl w:val="8AF66D1C"/>
    <w:lvl w:ilvl="0">
      <w:start w:val="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num w:numId="1" w16cid:durableId="1555001158">
    <w:abstractNumId w:val="3"/>
  </w:num>
  <w:num w:numId="2" w16cid:durableId="1756124592">
    <w:abstractNumId w:val="0"/>
  </w:num>
  <w:num w:numId="3" w16cid:durableId="1387533423">
    <w:abstractNumId w:val="6"/>
  </w:num>
  <w:num w:numId="4" w16cid:durableId="240333094">
    <w:abstractNumId w:val="1"/>
  </w:num>
  <w:num w:numId="5" w16cid:durableId="543448931">
    <w:abstractNumId w:val="4"/>
  </w:num>
  <w:num w:numId="6" w16cid:durableId="1597250766">
    <w:abstractNumId w:val="5"/>
  </w:num>
  <w:num w:numId="7" w16cid:durableId="288098680">
    <w:abstractNumId w:val="7"/>
  </w:num>
  <w:num w:numId="8" w16cid:durableId="893616037">
    <w:abstractNumId w:val="2"/>
  </w:num>
  <w:num w:numId="9" w16cid:durableId="1704867578">
    <w:abstractNumId w:val="6"/>
  </w:num>
  <w:num w:numId="10" w16cid:durableId="138995800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208"/>
    <w:rsid w:val="00000787"/>
    <w:rsid w:val="00001B4F"/>
    <w:rsid w:val="000030E0"/>
    <w:rsid w:val="0001131D"/>
    <w:rsid w:val="000245F4"/>
    <w:rsid w:val="00035606"/>
    <w:rsid w:val="00041615"/>
    <w:rsid w:val="00043A48"/>
    <w:rsid w:val="00052719"/>
    <w:rsid w:val="000615DD"/>
    <w:rsid w:val="00073208"/>
    <w:rsid w:val="00073DF1"/>
    <w:rsid w:val="00080C33"/>
    <w:rsid w:val="00083FD4"/>
    <w:rsid w:val="00097949"/>
    <w:rsid w:val="000A1B63"/>
    <w:rsid w:val="000A516D"/>
    <w:rsid w:val="000A6C11"/>
    <w:rsid w:val="000B5CE9"/>
    <w:rsid w:val="000C481B"/>
    <w:rsid w:val="000C7B26"/>
    <w:rsid w:val="000D19AB"/>
    <w:rsid w:val="000D377F"/>
    <w:rsid w:val="000D6140"/>
    <w:rsid w:val="000E0A26"/>
    <w:rsid w:val="00106628"/>
    <w:rsid w:val="001353E3"/>
    <w:rsid w:val="001363C7"/>
    <w:rsid w:val="00143E82"/>
    <w:rsid w:val="00144C7C"/>
    <w:rsid w:val="001510B2"/>
    <w:rsid w:val="001516FD"/>
    <w:rsid w:val="00162018"/>
    <w:rsid w:val="00170E11"/>
    <w:rsid w:val="00181ACE"/>
    <w:rsid w:val="00194C38"/>
    <w:rsid w:val="001A1B98"/>
    <w:rsid w:val="001A215F"/>
    <w:rsid w:val="001B0A73"/>
    <w:rsid w:val="001B1350"/>
    <w:rsid w:val="001B469D"/>
    <w:rsid w:val="001B478C"/>
    <w:rsid w:val="001B60C1"/>
    <w:rsid w:val="001C171E"/>
    <w:rsid w:val="001C3407"/>
    <w:rsid w:val="001C4761"/>
    <w:rsid w:val="001C6BE2"/>
    <w:rsid w:val="001E063A"/>
    <w:rsid w:val="001E6E59"/>
    <w:rsid w:val="00201C40"/>
    <w:rsid w:val="0020771F"/>
    <w:rsid w:val="00216AD6"/>
    <w:rsid w:val="00217222"/>
    <w:rsid w:val="0022115D"/>
    <w:rsid w:val="0022591F"/>
    <w:rsid w:val="00232D0C"/>
    <w:rsid w:val="00234584"/>
    <w:rsid w:val="0023745E"/>
    <w:rsid w:val="0024596E"/>
    <w:rsid w:val="00247E54"/>
    <w:rsid w:val="00265AEB"/>
    <w:rsid w:val="00267359"/>
    <w:rsid w:val="00273216"/>
    <w:rsid w:val="00273266"/>
    <w:rsid w:val="00282A7B"/>
    <w:rsid w:val="00284CC3"/>
    <w:rsid w:val="00291D1D"/>
    <w:rsid w:val="00293368"/>
    <w:rsid w:val="002943CA"/>
    <w:rsid w:val="00296C8B"/>
    <w:rsid w:val="0029736B"/>
    <w:rsid w:val="002979F1"/>
    <w:rsid w:val="002A420F"/>
    <w:rsid w:val="002A4706"/>
    <w:rsid w:val="002A56AF"/>
    <w:rsid w:val="002A6406"/>
    <w:rsid w:val="002B0716"/>
    <w:rsid w:val="002C1F14"/>
    <w:rsid w:val="002C3CEB"/>
    <w:rsid w:val="002C423C"/>
    <w:rsid w:val="002C52B7"/>
    <w:rsid w:val="002C7075"/>
    <w:rsid w:val="002D1D71"/>
    <w:rsid w:val="002D306B"/>
    <w:rsid w:val="002E0122"/>
    <w:rsid w:val="002E6A19"/>
    <w:rsid w:val="002F15EE"/>
    <w:rsid w:val="002F3621"/>
    <w:rsid w:val="002F69EB"/>
    <w:rsid w:val="00301C82"/>
    <w:rsid w:val="003112F9"/>
    <w:rsid w:val="00316723"/>
    <w:rsid w:val="00323D7B"/>
    <w:rsid w:val="00330F15"/>
    <w:rsid w:val="0033298C"/>
    <w:rsid w:val="00334022"/>
    <w:rsid w:val="003359F5"/>
    <w:rsid w:val="00337594"/>
    <w:rsid w:val="00341584"/>
    <w:rsid w:val="00347D57"/>
    <w:rsid w:val="00356316"/>
    <w:rsid w:val="00357DD2"/>
    <w:rsid w:val="00361854"/>
    <w:rsid w:val="00361A40"/>
    <w:rsid w:val="00363497"/>
    <w:rsid w:val="003647A2"/>
    <w:rsid w:val="0037050C"/>
    <w:rsid w:val="00371443"/>
    <w:rsid w:val="00385072"/>
    <w:rsid w:val="00385CFE"/>
    <w:rsid w:val="00391D17"/>
    <w:rsid w:val="003A11F8"/>
    <w:rsid w:val="003A1D25"/>
    <w:rsid w:val="003B199F"/>
    <w:rsid w:val="003B19A9"/>
    <w:rsid w:val="003B4575"/>
    <w:rsid w:val="003C4DD0"/>
    <w:rsid w:val="003D6052"/>
    <w:rsid w:val="003D7295"/>
    <w:rsid w:val="003E322D"/>
    <w:rsid w:val="003E38E2"/>
    <w:rsid w:val="003E78B5"/>
    <w:rsid w:val="003F021A"/>
    <w:rsid w:val="003F2C54"/>
    <w:rsid w:val="003F7D89"/>
    <w:rsid w:val="00413968"/>
    <w:rsid w:val="00415CA2"/>
    <w:rsid w:val="00422B1D"/>
    <w:rsid w:val="00427C7A"/>
    <w:rsid w:val="00431931"/>
    <w:rsid w:val="004368D5"/>
    <w:rsid w:val="00443B80"/>
    <w:rsid w:val="00443FE1"/>
    <w:rsid w:val="00446213"/>
    <w:rsid w:val="00452B8B"/>
    <w:rsid w:val="00453675"/>
    <w:rsid w:val="004576F8"/>
    <w:rsid w:val="004625C5"/>
    <w:rsid w:val="004679CF"/>
    <w:rsid w:val="004700A1"/>
    <w:rsid w:val="00472D9A"/>
    <w:rsid w:val="00477AAB"/>
    <w:rsid w:val="004830AE"/>
    <w:rsid w:val="004859CF"/>
    <w:rsid w:val="00486450"/>
    <w:rsid w:val="00490321"/>
    <w:rsid w:val="00493394"/>
    <w:rsid w:val="00493D04"/>
    <w:rsid w:val="0049592D"/>
    <w:rsid w:val="004A019A"/>
    <w:rsid w:val="004A5A7E"/>
    <w:rsid w:val="004B2D59"/>
    <w:rsid w:val="004B3B0A"/>
    <w:rsid w:val="004B7EDE"/>
    <w:rsid w:val="004C012A"/>
    <w:rsid w:val="004C0831"/>
    <w:rsid w:val="004C2898"/>
    <w:rsid w:val="004C4AAB"/>
    <w:rsid w:val="004C733E"/>
    <w:rsid w:val="004D10D5"/>
    <w:rsid w:val="004D10F3"/>
    <w:rsid w:val="004D1FF9"/>
    <w:rsid w:val="004E5515"/>
    <w:rsid w:val="004E794C"/>
    <w:rsid w:val="004F26ED"/>
    <w:rsid w:val="004F4F95"/>
    <w:rsid w:val="004F5710"/>
    <w:rsid w:val="004F62FE"/>
    <w:rsid w:val="004F6E62"/>
    <w:rsid w:val="00507B45"/>
    <w:rsid w:val="005122EF"/>
    <w:rsid w:val="005153FE"/>
    <w:rsid w:val="00522DB7"/>
    <w:rsid w:val="0052717C"/>
    <w:rsid w:val="00533DB3"/>
    <w:rsid w:val="00533F13"/>
    <w:rsid w:val="00540CC8"/>
    <w:rsid w:val="00541B53"/>
    <w:rsid w:val="0054640F"/>
    <w:rsid w:val="005470CB"/>
    <w:rsid w:val="0054745B"/>
    <w:rsid w:val="00550B4C"/>
    <w:rsid w:val="005516CB"/>
    <w:rsid w:val="00553490"/>
    <w:rsid w:val="00556487"/>
    <w:rsid w:val="00557AE7"/>
    <w:rsid w:val="00560948"/>
    <w:rsid w:val="00561669"/>
    <w:rsid w:val="0056190A"/>
    <w:rsid w:val="00561E0D"/>
    <w:rsid w:val="005662E7"/>
    <w:rsid w:val="0056656D"/>
    <w:rsid w:val="00570373"/>
    <w:rsid w:val="00572089"/>
    <w:rsid w:val="00577DE9"/>
    <w:rsid w:val="005814C1"/>
    <w:rsid w:val="00581BA8"/>
    <w:rsid w:val="00585C5B"/>
    <w:rsid w:val="00593560"/>
    <w:rsid w:val="00597B8B"/>
    <w:rsid w:val="005A4976"/>
    <w:rsid w:val="005A75AE"/>
    <w:rsid w:val="005B73C0"/>
    <w:rsid w:val="005C5E18"/>
    <w:rsid w:val="005C7D87"/>
    <w:rsid w:val="005D2828"/>
    <w:rsid w:val="005E0581"/>
    <w:rsid w:val="005E3E2B"/>
    <w:rsid w:val="005E657F"/>
    <w:rsid w:val="005E7CEC"/>
    <w:rsid w:val="005F0DF1"/>
    <w:rsid w:val="00600065"/>
    <w:rsid w:val="0060457B"/>
    <w:rsid w:val="006063FB"/>
    <w:rsid w:val="00606E21"/>
    <w:rsid w:val="0060771B"/>
    <w:rsid w:val="0061093B"/>
    <w:rsid w:val="00613805"/>
    <w:rsid w:val="006138A6"/>
    <w:rsid w:val="00613BB7"/>
    <w:rsid w:val="0062429D"/>
    <w:rsid w:val="0062441D"/>
    <w:rsid w:val="0063404E"/>
    <w:rsid w:val="006353AF"/>
    <w:rsid w:val="00637CE3"/>
    <w:rsid w:val="00641C21"/>
    <w:rsid w:val="00652390"/>
    <w:rsid w:val="0065508D"/>
    <w:rsid w:val="006553F5"/>
    <w:rsid w:val="0065565C"/>
    <w:rsid w:val="00660DB6"/>
    <w:rsid w:val="00665209"/>
    <w:rsid w:val="00681416"/>
    <w:rsid w:val="00687DFA"/>
    <w:rsid w:val="00693341"/>
    <w:rsid w:val="00693C48"/>
    <w:rsid w:val="006A0C89"/>
    <w:rsid w:val="006A2941"/>
    <w:rsid w:val="006A4243"/>
    <w:rsid w:val="006A4943"/>
    <w:rsid w:val="006A62B4"/>
    <w:rsid w:val="006A6905"/>
    <w:rsid w:val="006B3870"/>
    <w:rsid w:val="006C154E"/>
    <w:rsid w:val="006C2B95"/>
    <w:rsid w:val="006D4618"/>
    <w:rsid w:val="006D61CF"/>
    <w:rsid w:val="006D6386"/>
    <w:rsid w:val="006D6886"/>
    <w:rsid w:val="006E35ED"/>
    <w:rsid w:val="006F1C53"/>
    <w:rsid w:val="0070219E"/>
    <w:rsid w:val="00703AA1"/>
    <w:rsid w:val="007041D4"/>
    <w:rsid w:val="00705C90"/>
    <w:rsid w:val="007100F8"/>
    <w:rsid w:val="0071053A"/>
    <w:rsid w:val="00712D3A"/>
    <w:rsid w:val="007259C1"/>
    <w:rsid w:val="00736DF9"/>
    <w:rsid w:val="00737140"/>
    <w:rsid w:val="007415CD"/>
    <w:rsid w:val="007459D3"/>
    <w:rsid w:val="007566C5"/>
    <w:rsid w:val="007614A5"/>
    <w:rsid w:val="00764B9A"/>
    <w:rsid w:val="00774510"/>
    <w:rsid w:val="00774AF4"/>
    <w:rsid w:val="00775985"/>
    <w:rsid w:val="00784D04"/>
    <w:rsid w:val="00790D48"/>
    <w:rsid w:val="00792AFD"/>
    <w:rsid w:val="00794496"/>
    <w:rsid w:val="007A5782"/>
    <w:rsid w:val="007A7C18"/>
    <w:rsid w:val="007B4F01"/>
    <w:rsid w:val="007B554B"/>
    <w:rsid w:val="007B7569"/>
    <w:rsid w:val="007C22C5"/>
    <w:rsid w:val="007C7C2E"/>
    <w:rsid w:val="007D2849"/>
    <w:rsid w:val="007D2F26"/>
    <w:rsid w:val="007D5CA1"/>
    <w:rsid w:val="007D5FA6"/>
    <w:rsid w:val="007D67DB"/>
    <w:rsid w:val="007E4EAA"/>
    <w:rsid w:val="007E58D8"/>
    <w:rsid w:val="007E7340"/>
    <w:rsid w:val="007F2D64"/>
    <w:rsid w:val="007F7A55"/>
    <w:rsid w:val="008052CC"/>
    <w:rsid w:val="00812333"/>
    <w:rsid w:val="00814AED"/>
    <w:rsid w:val="0082036F"/>
    <w:rsid w:val="00836695"/>
    <w:rsid w:val="00843A08"/>
    <w:rsid w:val="00844968"/>
    <w:rsid w:val="008452FE"/>
    <w:rsid w:val="008464CC"/>
    <w:rsid w:val="00854ADB"/>
    <w:rsid w:val="00857686"/>
    <w:rsid w:val="00862552"/>
    <w:rsid w:val="00862CA3"/>
    <w:rsid w:val="00864031"/>
    <w:rsid w:val="008769B1"/>
    <w:rsid w:val="00877D3E"/>
    <w:rsid w:val="00892030"/>
    <w:rsid w:val="00894395"/>
    <w:rsid w:val="008959B1"/>
    <w:rsid w:val="0089735A"/>
    <w:rsid w:val="008A2D95"/>
    <w:rsid w:val="008B0792"/>
    <w:rsid w:val="008B4F17"/>
    <w:rsid w:val="008C135B"/>
    <w:rsid w:val="008D64B2"/>
    <w:rsid w:val="008E20CC"/>
    <w:rsid w:val="008E27AF"/>
    <w:rsid w:val="008E4655"/>
    <w:rsid w:val="008E79AC"/>
    <w:rsid w:val="008F1ACF"/>
    <w:rsid w:val="008F3C28"/>
    <w:rsid w:val="008F5D1D"/>
    <w:rsid w:val="00901CF1"/>
    <w:rsid w:val="00906811"/>
    <w:rsid w:val="00907450"/>
    <w:rsid w:val="009155E6"/>
    <w:rsid w:val="00926F8D"/>
    <w:rsid w:val="009307EA"/>
    <w:rsid w:val="00933397"/>
    <w:rsid w:val="00946902"/>
    <w:rsid w:val="00965BF8"/>
    <w:rsid w:val="00967C8C"/>
    <w:rsid w:val="00970665"/>
    <w:rsid w:val="00974A91"/>
    <w:rsid w:val="0097738F"/>
    <w:rsid w:val="00983655"/>
    <w:rsid w:val="009849D9"/>
    <w:rsid w:val="0098642B"/>
    <w:rsid w:val="00995DBA"/>
    <w:rsid w:val="00996E5B"/>
    <w:rsid w:val="009A2CBA"/>
    <w:rsid w:val="009A4733"/>
    <w:rsid w:val="009A6FF6"/>
    <w:rsid w:val="009B1923"/>
    <w:rsid w:val="009B24F4"/>
    <w:rsid w:val="009B2DED"/>
    <w:rsid w:val="009B2F91"/>
    <w:rsid w:val="009B5990"/>
    <w:rsid w:val="009C05D3"/>
    <w:rsid w:val="009C4377"/>
    <w:rsid w:val="009D5DA9"/>
    <w:rsid w:val="009D74BF"/>
    <w:rsid w:val="009E0A6A"/>
    <w:rsid w:val="009E48C4"/>
    <w:rsid w:val="009E72EA"/>
    <w:rsid w:val="00A00277"/>
    <w:rsid w:val="00A104CE"/>
    <w:rsid w:val="00A127C1"/>
    <w:rsid w:val="00A14407"/>
    <w:rsid w:val="00A21896"/>
    <w:rsid w:val="00A2338A"/>
    <w:rsid w:val="00A2461F"/>
    <w:rsid w:val="00A266C3"/>
    <w:rsid w:val="00A32201"/>
    <w:rsid w:val="00A32DFE"/>
    <w:rsid w:val="00A3467F"/>
    <w:rsid w:val="00A3496B"/>
    <w:rsid w:val="00A4279C"/>
    <w:rsid w:val="00A51B1D"/>
    <w:rsid w:val="00A57079"/>
    <w:rsid w:val="00A5744C"/>
    <w:rsid w:val="00A60CB2"/>
    <w:rsid w:val="00A639E7"/>
    <w:rsid w:val="00A67F7B"/>
    <w:rsid w:val="00A7422E"/>
    <w:rsid w:val="00A804AB"/>
    <w:rsid w:val="00A83182"/>
    <w:rsid w:val="00A85851"/>
    <w:rsid w:val="00A862DD"/>
    <w:rsid w:val="00A90B74"/>
    <w:rsid w:val="00A96315"/>
    <w:rsid w:val="00A96380"/>
    <w:rsid w:val="00AA1222"/>
    <w:rsid w:val="00AB017B"/>
    <w:rsid w:val="00AC636C"/>
    <w:rsid w:val="00AC7973"/>
    <w:rsid w:val="00AD04DF"/>
    <w:rsid w:val="00AD1786"/>
    <w:rsid w:val="00AD2D50"/>
    <w:rsid w:val="00AD2F10"/>
    <w:rsid w:val="00AE6F4A"/>
    <w:rsid w:val="00AF3004"/>
    <w:rsid w:val="00AF5EEC"/>
    <w:rsid w:val="00B00BF2"/>
    <w:rsid w:val="00B01618"/>
    <w:rsid w:val="00B0491A"/>
    <w:rsid w:val="00B11E07"/>
    <w:rsid w:val="00B34103"/>
    <w:rsid w:val="00B36601"/>
    <w:rsid w:val="00B375B1"/>
    <w:rsid w:val="00B601F9"/>
    <w:rsid w:val="00B64BA9"/>
    <w:rsid w:val="00B65CEC"/>
    <w:rsid w:val="00B71E59"/>
    <w:rsid w:val="00B71FC6"/>
    <w:rsid w:val="00B76619"/>
    <w:rsid w:val="00B76750"/>
    <w:rsid w:val="00B77A27"/>
    <w:rsid w:val="00B803C3"/>
    <w:rsid w:val="00B80531"/>
    <w:rsid w:val="00B90431"/>
    <w:rsid w:val="00B924F0"/>
    <w:rsid w:val="00B93F34"/>
    <w:rsid w:val="00B94A7E"/>
    <w:rsid w:val="00B96F0A"/>
    <w:rsid w:val="00BA222C"/>
    <w:rsid w:val="00BA2D53"/>
    <w:rsid w:val="00BA592D"/>
    <w:rsid w:val="00BB4C43"/>
    <w:rsid w:val="00BB6303"/>
    <w:rsid w:val="00BC22B5"/>
    <w:rsid w:val="00BC2EF1"/>
    <w:rsid w:val="00BC6CD8"/>
    <w:rsid w:val="00BD6FA1"/>
    <w:rsid w:val="00BE2969"/>
    <w:rsid w:val="00BE47FD"/>
    <w:rsid w:val="00BE4823"/>
    <w:rsid w:val="00BE6216"/>
    <w:rsid w:val="00BE775A"/>
    <w:rsid w:val="00BF6322"/>
    <w:rsid w:val="00BF66EC"/>
    <w:rsid w:val="00C03AA6"/>
    <w:rsid w:val="00C06115"/>
    <w:rsid w:val="00C168C4"/>
    <w:rsid w:val="00C17C6D"/>
    <w:rsid w:val="00C2470A"/>
    <w:rsid w:val="00C361F5"/>
    <w:rsid w:val="00C40003"/>
    <w:rsid w:val="00C50671"/>
    <w:rsid w:val="00C53D87"/>
    <w:rsid w:val="00C67DAF"/>
    <w:rsid w:val="00C73907"/>
    <w:rsid w:val="00C7509C"/>
    <w:rsid w:val="00C756B4"/>
    <w:rsid w:val="00C81AFC"/>
    <w:rsid w:val="00C8411E"/>
    <w:rsid w:val="00C8748F"/>
    <w:rsid w:val="00C91A16"/>
    <w:rsid w:val="00C92AC3"/>
    <w:rsid w:val="00C92E63"/>
    <w:rsid w:val="00C94A94"/>
    <w:rsid w:val="00C9739B"/>
    <w:rsid w:val="00C97422"/>
    <w:rsid w:val="00CA04A1"/>
    <w:rsid w:val="00CA1678"/>
    <w:rsid w:val="00CA645B"/>
    <w:rsid w:val="00CB40F8"/>
    <w:rsid w:val="00CB5DD1"/>
    <w:rsid w:val="00CC4B03"/>
    <w:rsid w:val="00CC7B23"/>
    <w:rsid w:val="00CD35AB"/>
    <w:rsid w:val="00CD6DF5"/>
    <w:rsid w:val="00CE18E4"/>
    <w:rsid w:val="00CE6B16"/>
    <w:rsid w:val="00CE7194"/>
    <w:rsid w:val="00CF2C3D"/>
    <w:rsid w:val="00CF2E46"/>
    <w:rsid w:val="00CF3C37"/>
    <w:rsid w:val="00D00E6F"/>
    <w:rsid w:val="00D02B04"/>
    <w:rsid w:val="00D05F62"/>
    <w:rsid w:val="00D27161"/>
    <w:rsid w:val="00D272F7"/>
    <w:rsid w:val="00D30114"/>
    <w:rsid w:val="00D31046"/>
    <w:rsid w:val="00D42BD7"/>
    <w:rsid w:val="00D4373F"/>
    <w:rsid w:val="00D46273"/>
    <w:rsid w:val="00D64FBA"/>
    <w:rsid w:val="00D668ED"/>
    <w:rsid w:val="00D813EA"/>
    <w:rsid w:val="00D81559"/>
    <w:rsid w:val="00D824B5"/>
    <w:rsid w:val="00D84C22"/>
    <w:rsid w:val="00D84EC5"/>
    <w:rsid w:val="00D877A0"/>
    <w:rsid w:val="00D90EFB"/>
    <w:rsid w:val="00D91FB4"/>
    <w:rsid w:val="00D9314C"/>
    <w:rsid w:val="00D94623"/>
    <w:rsid w:val="00D9568B"/>
    <w:rsid w:val="00DA0748"/>
    <w:rsid w:val="00DA1A43"/>
    <w:rsid w:val="00DA4E2B"/>
    <w:rsid w:val="00DA65DC"/>
    <w:rsid w:val="00DB21BF"/>
    <w:rsid w:val="00DB7FF9"/>
    <w:rsid w:val="00DC01A1"/>
    <w:rsid w:val="00DC548F"/>
    <w:rsid w:val="00DC6A2B"/>
    <w:rsid w:val="00DC7A51"/>
    <w:rsid w:val="00DD6DEF"/>
    <w:rsid w:val="00DD7FF7"/>
    <w:rsid w:val="00DE0534"/>
    <w:rsid w:val="00DE068F"/>
    <w:rsid w:val="00DE130E"/>
    <w:rsid w:val="00DE1B81"/>
    <w:rsid w:val="00DE2578"/>
    <w:rsid w:val="00DE434A"/>
    <w:rsid w:val="00DE6544"/>
    <w:rsid w:val="00DE7600"/>
    <w:rsid w:val="00E03F98"/>
    <w:rsid w:val="00E04D7A"/>
    <w:rsid w:val="00E05613"/>
    <w:rsid w:val="00E1167B"/>
    <w:rsid w:val="00E17309"/>
    <w:rsid w:val="00E21E85"/>
    <w:rsid w:val="00E33A2B"/>
    <w:rsid w:val="00E50935"/>
    <w:rsid w:val="00E5619D"/>
    <w:rsid w:val="00E56883"/>
    <w:rsid w:val="00E613DB"/>
    <w:rsid w:val="00E62041"/>
    <w:rsid w:val="00E64969"/>
    <w:rsid w:val="00E64E6F"/>
    <w:rsid w:val="00E650E6"/>
    <w:rsid w:val="00E65D61"/>
    <w:rsid w:val="00E6650F"/>
    <w:rsid w:val="00E66BC1"/>
    <w:rsid w:val="00E77F9C"/>
    <w:rsid w:val="00E80D50"/>
    <w:rsid w:val="00E827E6"/>
    <w:rsid w:val="00E86E52"/>
    <w:rsid w:val="00E917D1"/>
    <w:rsid w:val="00E9613E"/>
    <w:rsid w:val="00E9617A"/>
    <w:rsid w:val="00EA0707"/>
    <w:rsid w:val="00EB383E"/>
    <w:rsid w:val="00EC34DF"/>
    <w:rsid w:val="00EC415B"/>
    <w:rsid w:val="00EC4319"/>
    <w:rsid w:val="00ED2205"/>
    <w:rsid w:val="00ED79DF"/>
    <w:rsid w:val="00EE29D3"/>
    <w:rsid w:val="00EE2B36"/>
    <w:rsid w:val="00EF0B1A"/>
    <w:rsid w:val="00EF10E2"/>
    <w:rsid w:val="00EF62AD"/>
    <w:rsid w:val="00EF7890"/>
    <w:rsid w:val="00F034AC"/>
    <w:rsid w:val="00F07139"/>
    <w:rsid w:val="00F14810"/>
    <w:rsid w:val="00F17070"/>
    <w:rsid w:val="00F222B4"/>
    <w:rsid w:val="00F35D7B"/>
    <w:rsid w:val="00F41263"/>
    <w:rsid w:val="00F41284"/>
    <w:rsid w:val="00F429E8"/>
    <w:rsid w:val="00F430BB"/>
    <w:rsid w:val="00F44937"/>
    <w:rsid w:val="00F467DE"/>
    <w:rsid w:val="00F521B6"/>
    <w:rsid w:val="00F53B16"/>
    <w:rsid w:val="00F53C2E"/>
    <w:rsid w:val="00F63A27"/>
    <w:rsid w:val="00F64ACF"/>
    <w:rsid w:val="00F71C70"/>
    <w:rsid w:val="00F71DDD"/>
    <w:rsid w:val="00F728CF"/>
    <w:rsid w:val="00F730B5"/>
    <w:rsid w:val="00F74D05"/>
    <w:rsid w:val="00F76B8C"/>
    <w:rsid w:val="00F80D13"/>
    <w:rsid w:val="00F811E4"/>
    <w:rsid w:val="00F91CFF"/>
    <w:rsid w:val="00F97404"/>
    <w:rsid w:val="00FA3AE5"/>
    <w:rsid w:val="00FA5CDC"/>
    <w:rsid w:val="00FB0DBF"/>
    <w:rsid w:val="00FB7B4B"/>
    <w:rsid w:val="00FC0C1F"/>
    <w:rsid w:val="00FC10F7"/>
    <w:rsid w:val="00FC52BC"/>
    <w:rsid w:val="00FC6436"/>
    <w:rsid w:val="00FC6A60"/>
    <w:rsid w:val="00FD0201"/>
    <w:rsid w:val="00FD528A"/>
    <w:rsid w:val="00FE4520"/>
    <w:rsid w:val="00FE564E"/>
    <w:rsid w:val="00FF6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40D2"/>
  <w15:docId w15:val="{8727A9BE-D8F0-4803-8204-6BDA5C18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20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127C1"/>
    <w:pPr>
      <w:keepNext/>
      <w:keepLines/>
      <w:numPr>
        <w:numId w:val="4"/>
      </w:numPr>
      <w:spacing w:before="480" w:after="0"/>
      <w:ind w:left="284"/>
      <w:jc w:val="both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A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F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20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732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208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073208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73208"/>
    <w:rPr>
      <w:rFonts w:eastAsiaTheme="minorEastAsia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A127C1"/>
    <w:rPr>
      <w:rFonts w:ascii="Arial" w:eastAsia="Times New Roman" w:hAnsi="Arial" w:cs="Arial"/>
      <w:b/>
      <w:bCs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F64AC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F64A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A32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B7FF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652390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65239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5239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5239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5239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94C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4C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4C38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4C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4C38"/>
    <w:rPr>
      <w:rFonts w:eastAsiaTheme="minorEastAsia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62441D"/>
  </w:style>
  <w:style w:type="paragraph" w:customStyle="1" w:styleId="StyleHeading">
    <w:name w:val="Style Heading"/>
    <w:basedOn w:val="Normal"/>
    <w:rsid w:val="00E9617A"/>
    <w:pPr>
      <w:pBdr>
        <w:bottom w:val="single" w:sz="30" w:space="1" w:color="000080"/>
      </w:pBdr>
      <w:tabs>
        <w:tab w:val="left" w:pos="720"/>
        <w:tab w:val="left" w:pos="108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b/>
      <w:bCs/>
      <w:color w:val="000080"/>
      <w:sz w:val="28"/>
      <w:szCs w:val="28"/>
    </w:rPr>
  </w:style>
  <w:style w:type="paragraph" w:customStyle="1" w:styleId="SubHeading">
    <w:name w:val="Sub Heading"/>
    <w:basedOn w:val="Normal"/>
    <w:rsid w:val="00E9617A"/>
    <w:pPr>
      <w:pBdr>
        <w:bottom w:val="single" w:sz="18" w:space="1" w:color="000080"/>
      </w:pBdr>
      <w:tabs>
        <w:tab w:val="left" w:pos="720"/>
        <w:tab w:val="left" w:pos="1080"/>
      </w:tabs>
      <w:overflowPunct w:val="0"/>
      <w:autoSpaceDE w:val="0"/>
      <w:autoSpaceDN w:val="0"/>
      <w:adjustRightInd w:val="0"/>
      <w:spacing w:after="0" w:line="240" w:lineRule="auto"/>
      <w:ind w:left="720" w:right="4500" w:hanging="360"/>
      <w:textAlignment w:val="baseline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rsid w:val="00E9617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E9617A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Bullet">
    <w:name w:val="List Bullet"/>
    <w:basedOn w:val="List"/>
    <w:autoRedefine/>
    <w:rsid w:val="00E17309"/>
    <w:pPr>
      <w:numPr>
        <w:ilvl w:val="12"/>
      </w:numPr>
      <w:overflowPunct w:val="0"/>
      <w:autoSpaceDE w:val="0"/>
      <w:autoSpaceDN w:val="0"/>
      <w:adjustRightInd w:val="0"/>
      <w:spacing w:after="240" w:line="240" w:lineRule="atLeast"/>
      <w:ind w:left="720" w:hanging="360"/>
      <w:contextualSpacing w:val="0"/>
      <w:textAlignment w:val="baseline"/>
    </w:pPr>
    <w:rPr>
      <w:rFonts w:ascii="Arial" w:eastAsia="Times New Roman" w:hAnsi="Arial" w:cs="Arial"/>
      <w:spacing w:val="-5"/>
      <w:sz w:val="20"/>
      <w:szCs w:val="20"/>
    </w:rPr>
  </w:style>
  <w:style w:type="paragraph" w:styleId="List">
    <w:name w:val="List"/>
    <w:basedOn w:val="Normal"/>
    <w:uiPriority w:val="99"/>
    <w:semiHidden/>
    <w:unhideWhenUsed/>
    <w:rsid w:val="00E9617A"/>
    <w:pPr>
      <w:ind w:left="360" w:hanging="360"/>
      <w:contextualSpacing/>
    </w:pPr>
  </w:style>
  <w:style w:type="character" w:customStyle="1" w:styleId="BodyText1">
    <w:name w:val="Body Text1"/>
    <w:rsid w:val="00E17309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60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36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601"/>
    <w:rPr>
      <w:rFonts w:eastAsiaTheme="minorEastAsia"/>
    </w:rPr>
  </w:style>
  <w:style w:type="paragraph" w:styleId="Revision">
    <w:name w:val="Revision"/>
    <w:hidden/>
    <w:uiPriority w:val="99"/>
    <w:semiHidden/>
    <w:rsid w:val="00A57079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5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55461754B26493B8271376AC5B755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33FCA-A36C-4FEA-91C2-565985180E60}"/>
      </w:docPartPr>
      <w:docPartBody>
        <w:p w:rsidR="00E17337" w:rsidRDefault="00E17337" w:rsidP="00E17337">
          <w:pPr>
            <w:pStyle w:val="455461754B26493B8271376AC5B75509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  <w:docPart>
      <w:docPartPr>
        <w:name w:val="46AFD50801034099A165665252DB2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CCDE1-F862-4EB5-AA78-4641E4B391EF}"/>
      </w:docPartPr>
      <w:docPartBody>
        <w:p w:rsidR="00E17337" w:rsidRDefault="00E17337" w:rsidP="00E17337">
          <w:pPr>
            <w:pStyle w:val="46AFD50801034099A165665252DB24A8"/>
          </w:pPr>
          <w:r>
            <w:rPr>
              <w:rFonts w:asciiTheme="majorHAnsi" w:eastAsiaTheme="majorEastAsia" w:hAnsiTheme="majorHAnsi" w:cstheme="majorBidi"/>
              <w:sz w:val="44"/>
              <w:szCs w:val="44"/>
            </w:rPr>
            <w:t>[Type the 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7337"/>
    <w:rsid w:val="00103372"/>
    <w:rsid w:val="00192CD1"/>
    <w:rsid w:val="001B478C"/>
    <w:rsid w:val="00201C40"/>
    <w:rsid w:val="0022378B"/>
    <w:rsid w:val="002E4B2D"/>
    <w:rsid w:val="002F2EA7"/>
    <w:rsid w:val="0040182D"/>
    <w:rsid w:val="00435F14"/>
    <w:rsid w:val="00452B8B"/>
    <w:rsid w:val="004E6D60"/>
    <w:rsid w:val="00502611"/>
    <w:rsid w:val="00536008"/>
    <w:rsid w:val="00556504"/>
    <w:rsid w:val="005A4E8D"/>
    <w:rsid w:val="005C3042"/>
    <w:rsid w:val="0065565C"/>
    <w:rsid w:val="006D6886"/>
    <w:rsid w:val="007264D9"/>
    <w:rsid w:val="008637B3"/>
    <w:rsid w:val="008941F6"/>
    <w:rsid w:val="008D68FC"/>
    <w:rsid w:val="00906277"/>
    <w:rsid w:val="00966002"/>
    <w:rsid w:val="00967C8C"/>
    <w:rsid w:val="009A5646"/>
    <w:rsid w:val="009C009F"/>
    <w:rsid w:val="009D74BF"/>
    <w:rsid w:val="009E5839"/>
    <w:rsid w:val="00A0103B"/>
    <w:rsid w:val="00A57340"/>
    <w:rsid w:val="00A74642"/>
    <w:rsid w:val="00AB25BA"/>
    <w:rsid w:val="00AE162A"/>
    <w:rsid w:val="00B1180A"/>
    <w:rsid w:val="00B94A7E"/>
    <w:rsid w:val="00BE4E9D"/>
    <w:rsid w:val="00C50671"/>
    <w:rsid w:val="00CB3BE8"/>
    <w:rsid w:val="00D00C6A"/>
    <w:rsid w:val="00D94623"/>
    <w:rsid w:val="00D95237"/>
    <w:rsid w:val="00DC4E6B"/>
    <w:rsid w:val="00DC548F"/>
    <w:rsid w:val="00DF2574"/>
    <w:rsid w:val="00DF5C6D"/>
    <w:rsid w:val="00E17337"/>
    <w:rsid w:val="00ED0EA6"/>
    <w:rsid w:val="00F037C6"/>
    <w:rsid w:val="00F0629F"/>
    <w:rsid w:val="00FD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55461754B26493B8271376AC5B75509">
    <w:name w:val="455461754B26493B8271376AC5B75509"/>
    <w:rsid w:val="00E17337"/>
  </w:style>
  <w:style w:type="paragraph" w:customStyle="1" w:styleId="46AFD50801034099A165665252DB24A8">
    <w:name w:val="46AFD50801034099A165665252DB24A8"/>
    <w:rsid w:val="00E173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8D2CA1-ED92-4227-8E1D-3988DF638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547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Electronic Regulation System (ERS)</vt:lpstr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Reporting Suite</dc:title>
  <dc:subject>Modernisation and Analytics Enhancements Release Notes</dc:subject>
  <dc:creator>Dennis Shaalukeni</dc:creator>
  <cp:lastModifiedBy>Mathias Shigwedha</cp:lastModifiedBy>
  <cp:revision>2</cp:revision>
  <cp:lastPrinted>2016-01-21T10:13:00Z</cp:lastPrinted>
  <dcterms:created xsi:type="dcterms:W3CDTF">2026-10-07T17:16:00Z</dcterms:created>
  <dcterms:modified xsi:type="dcterms:W3CDTF">2026-10-07T17:16:00Z</dcterms:modified>
  <cp:keywords>Reporting Suite, release notes, Power BI, Adhoc reports, ACoA, warehouse</cp:keywords>
</cp:coreProperties>
</file>