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4AA93" w14:textId="01FB4BFC" w:rsidR="000A2522" w:rsidRPr="00C64B76" w:rsidRDefault="00000000">
      <w:pPr>
        <w:jc w:val="center"/>
        <w:rPr>
          <w:rFonts w:ascii="Cambria" w:eastAsia="Cambria" w:hAnsi="Cambria" w:cs="Cambria"/>
          <w:b/>
          <w:bCs/>
          <w:color w:val="000000"/>
          <w:sz w:val="32"/>
          <w:szCs w:val="32"/>
        </w:rPr>
      </w:pPr>
      <w:r w:rsidRPr="00C64B76">
        <w:rPr>
          <w:rFonts w:ascii="Cambria" w:eastAsia="Cambria" w:hAnsi="Cambria" w:cs="Cambria"/>
          <w:b/>
          <w:bCs/>
          <w:color w:val="000000"/>
          <w:sz w:val="32"/>
          <w:szCs w:val="32"/>
        </w:rPr>
        <w:t>Report</w:t>
      </w:r>
    </w:p>
    <w:p w14:paraId="07507AEF" w14:textId="77777777" w:rsidR="000A2522" w:rsidRDefault="000A2522">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A2522" w14:paraId="00024EBA" w14:textId="77777777">
        <w:trPr>
          <w:jc w:val="center"/>
        </w:trPr>
        <w:tc>
          <w:tcPr>
            <w:tcW w:w="4508" w:type="dxa"/>
          </w:tcPr>
          <w:p w14:paraId="3588D8C6" w14:textId="77777777" w:rsidR="000A2522" w:rsidRDefault="00000000">
            <w:pPr>
              <w:rPr>
                <w:rFonts w:ascii="Arial" w:eastAsia="Arial" w:hAnsi="Arial" w:cs="Arial"/>
              </w:rPr>
            </w:pPr>
            <w:r>
              <w:rPr>
                <w:rFonts w:ascii="Arial" w:eastAsia="Arial" w:hAnsi="Arial" w:cs="Arial"/>
              </w:rPr>
              <w:t>Date</w:t>
            </w:r>
          </w:p>
        </w:tc>
        <w:tc>
          <w:tcPr>
            <w:tcW w:w="4843" w:type="dxa"/>
          </w:tcPr>
          <w:p w14:paraId="5DF0F560" w14:textId="407D443E" w:rsidR="000A2522" w:rsidRDefault="008C0CA1">
            <w:pPr>
              <w:rPr>
                <w:rFonts w:ascii="Arial" w:eastAsia="Arial" w:hAnsi="Arial" w:cs="Arial"/>
              </w:rPr>
            </w:pPr>
            <w:r>
              <w:rPr>
                <w:rFonts w:ascii="Arial" w:eastAsia="Arial" w:hAnsi="Arial" w:cs="Arial"/>
              </w:rPr>
              <w:t>19 September 2026</w:t>
            </w:r>
          </w:p>
        </w:tc>
      </w:tr>
      <w:tr w:rsidR="000A2522" w14:paraId="74EF9423" w14:textId="77777777">
        <w:trPr>
          <w:jc w:val="center"/>
        </w:trPr>
        <w:tc>
          <w:tcPr>
            <w:tcW w:w="4508" w:type="dxa"/>
          </w:tcPr>
          <w:p w14:paraId="7392E9CB" w14:textId="77777777" w:rsidR="000A2522" w:rsidRDefault="00000000">
            <w:pPr>
              <w:rPr>
                <w:rFonts w:ascii="Arial" w:eastAsia="Arial" w:hAnsi="Arial" w:cs="Arial"/>
              </w:rPr>
            </w:pPr>
            <w:r>
              <w:rPr>
                <w:rFonts w:ascii="Arial" w:eastAsia="Arial" w:hAnsi="Arial" w:cs="Arial"/>
              </w:rPr>
              <w:t>Team ID</w:t>
            </w:r>
          </w:p>
        </w:tc>
        <w:tc>
          <w:tcPr>
            <w:tcW w:w="4843" w:type="dxa"/>
          </w:tcPr>
          <w:p w14:paraId="662001BD" w14:textId="707C176E" w:rsidR="000A2522" w:rsidRDefault="008C0CA1">
            <w:pPr>
              <w:rPr>
                <w:rFonts w:ascii="Arial" w:eastAsia="Arial" w:hAnsi="Arial" w:cs="Arial"/>
              </w:rPr>
            </w:pPr>
            <w:r>
              <w:rPr>
                <w:rFonts w:ascii="Arial" w:eastAsia="Arial" w:hAnsi="Arial" w:cs="Arial"/>
              </w:rPr>
              <w:t>MCA</w:t>
            </w:r>
          </w:p>
        </w:tc>
      </w:tr>
      <w:tr w:rsidR="000A2522" w14:paraId="6B1B67E4" w14:textId="77777777">
        <w:trPr>
          <w:jc w:val="center"/>
        </w:trPr>
        <w:tc>
          <w:tcPr>
            <w:tcW w:w="4508" w:type="dxa"/>
          </w:tcPr>
          <w:p w14:paraId="2612F2CF" w14:textId="77777777" w:rsidR="000A2522" w:rsidRDefault="00000000">
            <w:pPr>
              <w:rPr>
                <w:rFonts w:ascii="Arial" w:eastAsia="Arial" w:hAnsi="Arial" w:cs="Arial"/>
              </w:rPr>
            </w:pPr>
            <w:r>
              <w:rPr>
                <w:rFonts w:ascii="Arial" w:eastAsia="Arial" w:hAnsi="Arial" w:cs="Arial"/>
              </w:rPr>
              <w:t>Project Name</w:t>
            </w:r>
          </w:p>
        </w:tc>
        <w:tc>
          <w:tcPr>
            <w:tcW w:w="4843" w:type="dxa"/>
          </w:tcPr>
          <w:p w14:paraId="3FF9BED9" w14:textId="10181A69" w:rsidR="000A2522" w:rsidRDefault="008C0CA1">
            <w:pPr>
              <w:rPr>
                <w:rFonts w:ascii="Arial" w:eastAsia="Arial" w:hAnsi="Arial" w:cs="Arial"/>
              </w:rPr>
            </w:pPr>
            <w:r>
              <w:rPr>
                <w:rFonts w:ascii="Arial" w:eastAsia="Arial" w:hAnsi="Arial" w:cs="Arial"/>
              </w:rPr>
              <w:t>Online Learning engagement and Student Performance Analysis</w:t>
            </w:r>
          </w:p>
        </w:tc>
      </w:tr>
      <w:tr w:rsidR="000A2522" w14:paraId="6BF4EB8C" w14:textId="77777777">
        <w:trPr>
          <w:jc w:val="center"/>
        </w:trPr>
        <w:tc>
          <w:tcPr>
            <w:tcW w:w="4508" w:type="dxa"/>
          </w:tcPr>
          <w:p w14:paraId="156D8699" w14:textId="77777777" w:rsidR="000A2522" w:rsidRDefault="00000000">
            <w:pPr>
              <w:rPr>
                <w:rFonts w:ascii="Arial" w:eastAsia="Arial" w:hAnsi="Arial" w:cs="Arial"/>
              </w:rPr>
            </w:pPr>
            <w:r>
              <w:rPr>
                <w:rFonts w:ascii="Arial" w:eastAsia="Arial" w:hAnsi="Arial" w:cs="Arial"/>
              </w:rPr>
              <w:t>Maximum Marks</w:t>
            </w:r>
          </w:p>
        </w:tc>
        <w:tc>
          <w:tcPr>
            <w:tcW w:w="4843" w:type="dxa"/>
          </w:tcPr>
          <w:p w14:paraId="25D15D4C" w14:textId="3BFDBC2C" w:rsidR="000A2522" w:rsidRDefault="00000000">
            <w:pPr>
              <w:rPr>
                <w:rFonts w:ascii="Arial" w:eastAsia="Arial" w:hAnsi="Arial" w:cs="Arial"/>
              </w:rPr>
            </w:pPr>
            <w:r>
              <w:rPr>
                <w:rFonts w:ascii="Arial" w:eastAsia="Arial" w:hAnsi="Arial" w:cs="Arial"/>
              </w:rPr>
              <w:t>5 Mark</w:t>
            </w:r>
            <w:r w:rsidR="00120CB2">
              <w:rPr>
                <w:rFonts w:ascii="Arial" w:eastAsia="Arial" w:hAnsi="Arial" w:cs="Arial"/>
              </w:rPr>
              <w:t>s</w:t>
            </w:r>
          </w:p>
        </w:tc>
      </w:tr>
    </w:tbl>
    <w:p w14:paraId="2DFD49E1" w14:textId="77777777" w:rsidR="000A2522" w:rsidRDefault="000A2522">
      <w:pPr>
        <w:rPr>
          <w:rFonts w:ascii="Cambria" w:eastAsia="Cambria" w:hAnsi="Cambria" w:cs="Cambria"/>
          <w:color w:val="000000"/>
          <w:sz w:val="24"/>
          <w:szCs w:val="24"/>
          <w:highlight w:val="white"/>
        </w:rPr>
      </w:pPr>
    </w:p>
    <w:p w14:paraId="484D46AE" w14:textId="187CE10E" w:rsidR="008C0CA1" w:rsidRPr="001F24CF" w:rsidRDefault="008C0CA1" w:rsidP="008C0CA1">
      <w:pPr>
        <w:rPr>
          <w:rFonts w:ascii="Cambria" w:eastAsia="Cambria" w:hAnsi="Cambria" w:cs="Cambria"/>
          <w:color w:val="000000"/>
          <w:sz w:val="24"/>
          <w:szCs w:val="24"/>
        </w:rPr>
      </w:pPr>
      <w:r w:rsidRPr="001F24CF">
        <w:rPr>
          <w:rFonts w:ascii="Cambria" w:eastAsia="Cambria" w:hAnsi="Cambria" w:cs="Cambria"/>
          <w:color w:val="000000"/>
          <w:sz w:val="24"/>
          <w:szCs w:val="24"/>
        </w:rPr>
        <w:t>A report is a detailed document that presents data, analysis, findings, and important insights in an organized way. It helps users understand the data clearly and is useful for decision-makers, analysts, and other stakeholders.</w:t>
      </w:r>
    </w:p>
    <w:p w14:paraId="573146FB" w14:textId="06D3417A" w:rsidR="00C64B76" w:rsidRPr="001F24CF" w:rsidRDefault="008C0CA1" w:rsidP="008C0CA1">
      <w:pPr>
        <w:rPr>
          <w:rFonts w:ascii="Cambria" w:eastAsia="Cambria" w:hAnsi="Cambria" w:cs="Cambria"/>
          <w:color w:val="000000"/>
          <w:sz w:val="24"/>
          <w:szCs w:val="24"/>
        </w:rPr>
      </w:pPr>
      <w:r w:rsidRPr="001F24CF">
        <w:rPr>
          <w:rFonts w:ascii="Cambria" w:eastAsia="Cambria" w:hAnsi="Cambria" w:cs="Cambria"/>
          <w:color w:val="000000"/>
          <w:sz w:val="24"/>
          <w:szCs w:val="24"/>
        </w:rPr>
        <w:t>Creating a report in Power BI involves connecting the required data sources, creating visualizations such as charts and graphs, and arranging them properly on the report page. The visualizations can be formatted and customized to make the report clear, attractive, and easy to understand. Interactive features can also be added so users can explore the data. The report should be designed according to the needs of the target audience and should clearly present the important insights. After creating the report, feedback can be used to make improvements and increase its usefulness.</w:t>
      </w:r>
    </w:p>
    <w:p w14:paraId="3D8946B9" w14:textId="718398DE" w:rsidR="00C64B76" w:rsidRPr="001F24CF" w:rsidRDefault="00C64B76" w:rsidP="00C64B76">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color w:val="000000"/>
          <w:sz w:val="28"/>
          <w:szCs w:val="28"/>
        </w:rPr>
        <w:t>Report 1: Global Online Learning – Student Performance &amp; Engagement Overview</w:t>
      </w:r>
    </w:p>
    <w:p w14:paraId="078539CF" w14:textId="60CB469E" w:rsidR="008C0CA1" w:rsidRPr="001F24CF" w:rsidRDefault="008C0CA1" w:rsidP="00C64B76">
      <w:pPr>
        <w:rPr>
          <w:rFonts w:ascii="Cambria" w:eastAsia="Cambria" w:hAnsi="Cambria" w:cs="Cambria"/>
          <w:color w:val="000000"/>
          <w:sz w:val="24"/>
          <w:szCs w:val="24"/>
          <w:highlight w:val="white"/>
        </w:rPr>
      </w:pPr>
      <w:r w:rsidRPr="001F24CF">
        <w:rPr>
          <w:rFonts w:ascii="Cambria" w:eastAsia="Cambria" w:hAnsi="Cambria" w:cs="Cambria"/>
          <w:noProof/>
          <w:color w:val="000000"/>
          <w:sz w:val="24"/>
          <w:szCs w:val="24"/>
        </w:rPr>
        <w:drawing>
          <wp:inline distT="0" distB="0" distL="0" distR="0" wp14:anchorId="7076FADE" wp14:editId="604AD63F">
            <wp:extent cx="5731510" cy="31965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3196590"/>
                    </a:xfrm>
                    <a:prstGeom prst="rect">
                      <a:avLst/>
                    </a:prstGeom>
                  </pic:spPr>
                </pic:pic>
              </a:graphicData>
            </a:graphic>
          </wp:inline>
        </w:drawing>
      </w:r>
      <w:r w:rsidRPr="001F24CF">
        <w:rPr>
          <w:rFonts w:ascii="Cambria" w:hAnsi="Cambria"/>
          <w:sz w:val="20"/>
          <w:szCs w:val="20"/>
        </w:rPr>
        <w:t xml:space="preserve">                   </w:t>
      </w:r>
    </w:p>
    <w:p w14:paraId="1F1A136F" w14:textId="77C46D2F" w:rsidR="00C64B76" w:rsidRPr="001F24CF" w:rsidRDefault="00C64B76" w:rsidP="00C64B76">
      <w:pPr>
        <w:pBdr>
          <w:top w:val="nil"/>
          <w:left w:val="nil"/>
          <w:bottom w:val="nil"/>
          <w:right w:val="nil"/>
          <w:between w:val="nil"/>
        </w:pBdr>
        <w:spacing w:after="200" w:line="240" w:lineRule="auto"/>
        <w:rPr>
          <w:rFonts w:ascii="Cambria" w:eastAsia="Arial" w:hAnsi="Cambria" w:cs="Arial"/>
          <w:b/>
          <w:bCs/>
          <w:color w:val="000000"/>
          <w:sz w:val="24"/>
          <w:szCs w:val="24"/>
        </w:rPr>
      </w:pPr>
      <w:r w:rsidRPr="001F24CF">
        <w:rPr>
          <w:rFonts w:ascii="Cambria" w:eastAsia="Arial" w:hAnsi="Cambria" w:cs="Arial"/>
          <w:color w:val="000000"/>
          <w:sz w:val="20"/>
          <w:szCs w:val="20"/>
        </w:rPr>
        <w:t xml:space="preserve">       </w:t>
      </w:r>
      <w:r w:rsidRPr="001F24CF">
        <w:rPr>
          <w:rFonts w:ascii="Cambria" w:eastAsia="Arial" w:hAnsi="Cambria" w:cs="Arial"/>
          <w:b/>
          <w:bCs/>
          <w:color w:val="000000"/>
          <w:sz w:val="24"/>
          <w:szCs w:val="24"/>
        </w:rPr>
        <w:t>1.</w:t>
      </w:r>
      <w:r w:rsidR="008C0CA1" w:rsidRPr="001F24CF">
        <w:rPr>
          <w:rFonts w:ascii="Cambria" w:eastAsia="Arial" w:hAnsi="Cambria" w:cs="Arial"/>
          <w:b/>
          <w:bCs/>
          <w:color w:val="000000"/>
          <w:sz w:val="24"/>
          <w:szCs w:val="24"/>
        </w:rPr>
        <w:t>Performance Comparison</w:t>
      </w:r>
      <w:r w:rsidRPr="001F24CF">
        <w:rPr>
          <w:rFonts w:ascii="Cambria" w:eastAsia="Arial" w:hAnsi="Cambria" w:cs="Arial"/>
          <w:b/>
          <w:bCs/>
          <w:color w:val="000000"/>
          <w:sz w:val="24"/>
          <w:szCs w:val="24"/>
        </w:rPr>
        <w:t xml:space="preserve">  </w:t>
      </w:r>
    </w:p>
    <w:p w14:paraId="3F8908B8" w14:textId="2259B92F" w:rsidR="008C0CA1" w:rsidRPr="001F24CF" w:rsidRDefault="00C64B76"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 xml:space="preserve">          </w:t>
      </w:r>
      <w:r w:rsidR="008C0CA1" w:rsidRPr="001F24CF">
        <w:rPr>
          <w:rFonts w:ascii="Cambria" w:eastAsia="Arial" w:hAnsi="Cambria" w:cs="Arial"/>
          <w:color w:val="000000"/>
          <w:sz w:val="20"/>
          <w:szCs w:val="20"/>
        </w:rPr>
        <w:t>Average score by region</w:t>
      </w:r>
    </w:p>
    <w:p w14:paraId="07205F40" w14:textId="7A917D77" w:rsidR="008C0CA1" w:rsidRPr="001F24CF" w:rsidRDefault="00C64B76"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 xml:space="preserve">          </w:t>
      </w:r>
      <w:r w:rsidR="008C0CA1" w:rsidRPr="001F24CF">
        <w:rPr>
          <w:rFonts w:ascii="Cambria" w:eastAsia="Arial" w:hAnsi="Cambria" w:cs="Arial"/>
          <w:color w:val="000000"/>
          <w:sz w:val="20"/>
          <w:szCs w:val="20"/>
        </w:rPr>
        <w:t>Average score across different regions is mostly in the 70s.</w:t>
      </w:r>
    </w:p>
    <w:p w14:paraId="7FF2DD02" w14:textId="1E48F90D" w:rsidR="008C0CA1" w:rsidRPr="001F24CF" w:rsidRDefault="00C64B76"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 xml:space="preserve">         </w:t>
      </w:r>
      <w:r w:rsidR="008C0CA1" w:rsidRPr="001F24CF">
        <w:rPr>
          <w:rFonts w:ascii="Cambria" w:eastAsia="Arial" w:hAnsi="Cambria" w:cs="Arial"/>
          <w:color w:val="000000"/>
          <w:sz w:val="20"/>
          <w:szCs w:val="20"/>
        </w:rPr>
        <w:t>Comparison of student performance across regions.</w:t>
      </w:r>
    </w:p>
    <w:p w14:paraId="23158FDD"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4"/>
          <w:szCs w:val="24"/>
        </w:rPr>
      </w:pPr>
      <w:r w:rsidRPr="001F24CF">
        <w:rPr>
          <w:rFonts w:ascii="Cambria" w:eastAsia="Arial" w:hAnsi="Cambria" w:cs="Arial"/>
          <w:b/>
          <w:bCs/>
          <w:color w:val="000000"/>
          <w:sz w:val="24"/>
          <w:szCs w:val="24"/>
        </w:rPr>
        <w:lastRenderedPageBreak/>
        <w:t>2. Student Engagement Analysis</w:t>
      </w:r>
    </w:p>
    <w:p w14:paraId="0D3CC7C3"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Total students by engagement level.</w:t>
      </w:r>
    </w:p>
    <w:p w14:paraId="6FC83956"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Engagement levels include High, Medium, and Low.</w:t>
      </w:r>
    </w:p>
    <w:p w14:paraId="6F4C8C9A"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Average clicks are highest for the High engagement group.</w:t>
      </w:r>
    </w:p>
    <w:p w14:paraId="66BAF398"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4"/>
          <w:szCs w:val="24"/>
        </w:rPr>
      </w:pPr>
      <w:r w:rsidRPr="001F24CF">
        <w:rPr>
          <w:rFonts w:ascii="Cambria" w:eastAsia="Arial" w:hAnsi="Cambria" w:cs="Arial"/>
          <w:b/>
          <w:bCs/>
          <w:color w:val="000000"/>
          <w:sz w:val="24"/>
          <w:szCs w:val="24"/>
        </w:rPr>
        <w:t>3. Final Result Analysis</w:t>
      </w:r>
    </w:p>
    <w:p w14:paraId="2D1FED9B"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Students are grouped into Pass, Fail, Withdrawn, and Distinction.</w:t>
      </w:r>
    </w:p>
    <w:p w14:paraId="3CEB0F8D"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Pass is the largest final-result category.</w:t>
      </w:r>
    </w:p>
    <w:p w14:paraId="20C06F90"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The dashboard also shows final results by engagement level.</w:t>
      </w:r>
    </w:p>
    <w:p w14:paraId="1184AAE7"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4"/>
          <w:szCs w:val="24"/>
        </w:rPr>
      </w:pPr>
      <w:r w:rsidRPr="001F24CF">
        <w:rPr>
          <w:rFonts w:ascii="Cambria" w:eastAsia="Arial" w:hAnsi="Cambria" w:cs="Arial"/>
          <w:b/>
          <w:bCs/>
          <w:color w:val="000000"/>
          <w:sz w:val="24"/>
          <w:szCs w:val="24"/>
        </w:rPr>
        <w:t>4. Regional Analysis</w:t>
      </w:r>
    </w:p>
    <w:p w14:paraId="299D0D40"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Student performance is compared across different regions.</w:t>
      </w:r>
    </w:p>
    <w:p w14:paraId="091225F9"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The dashboard shows the average score for each region.</w:t>
      </w:r>
    </w:p>
    <w:p w14:paraId="18476D25"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4"/>
          <w:szCs w:val="24"/>
        </w:rPr>
      </w:pPr>
      <w:r w:rsidRPr="001F24CF">
        <w:rPr>
          <w:rFonts w:ascii="Cambria" w:eastAsia="Arial" w:hAnsi="Cambria" w:cs="Arial"/>
          <w:b/>
          <w:bCs/>
          <w:color w:val="000000"/>
          <w:sz w:val="24"/>
          <w:szCs w:val="24"/>
        </w:rPr>
        <w:t>5. Key Findings</w:t>
      </w:r>
    </w:p>
    <w:p w14:paraId="0732D3F3"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Total students: 22,422</w:t>
      </w:r>
    </w:p>
    <w:p w14:paraId="43F9CAE6"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High engagement has the highest average clicks.</w:t>
      </w:r>
    </w:p>
    <w:p w14:paraId="60E9A72E" w14:textId="02761A24"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Pass is the largest final-result category.</w:t>
      </w:r>
    </w:p>
    <w:p w14:paraId="7EBF7071"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Average scores across regions are mostly around the 70s.</w:t>
      </w:r>
    </w:p>
    <w:p w14:paraId="64EB10AE" w14:textId="084CBCF8" w:rsidR="001F24CF" w:rsidRPr="001F24CF" w:rsidRDefault="001F24CF" w:rsidP="001F24CF">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color w:val="000000"/>
          <w:sz w:val="28"/>
          <w:szCs w:val="28"/>
        </w:rPr>
        <w:t>Report 2: Risk, Dropout &amp; Demographic Analysis Dashboard</w:t>
      </w:r>
    </w:p>
    <w:p w14:paraId="264C8A09" w14:textId="07C3C6F8" w:rsidR="001F24CF" w:rsidRPr="001F24CF" w:rsidRDefault="001F24CF" w:rsidP="001F24CF">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noProof/>
          <w:color w:val="000000"/>
          <w:sz w:val="28"/>
          <w:szCs w:val="28"/>
        </w:rPr>
        <w:drawing>
          <wp:inline distT="0" distB="0" distL="0" distR="0" wp14:anchorId="7CB4D6A8" wp14:editId="0B84EC03">
            <wp:extent cx="6212595" cy="3517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216337" cy="3520019"/>
                    </a:xfrm>
                    <a:prstGeom prst="rect">
                      <a:avLst/>
                    </a:prstGeom>
                  </pic:spPr>
                </pic:pic>
              </a:graphicData>
            </a:graphic>
          </wp:inline>
        </w:drawing>
      </w:r>
    </w:p>
    <w:p w14:paraId="11498C00" w14:textId="0E320B9D"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p>
    <w:p w14:paraId="4D8C93AC"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color w:val="000000"/>
          <w:sz w:val="28"/>
          <w:szCs w:val="28"/>
        </w:rPr>
        <w:lastRenderedPageBreak/>
        <w:t>1. Risk Analysis</w:t>
      </w:r>
    </w:p>
    <w:p w14:paraId="250A05C0"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Students are divided into High Risk, Low Risk, Safe, and Very High Risk.</w:t>
      </w:r>
    </w:p>
    <w:p w14:paraId="0C8B6F8B"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The dashboard compares the number of students in each risk category.</w:t>
      </w:r>
    </w:p>
    <w:p w14:paraId="5C42E456"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color w:val="000000"/>
          <w:sz w:val="28"/>
          <w:szCs w:val="28"/>
        </w:rPr>
        <w:t>2. Dropout Analysis</w:t>
      </w:r>
    </w:p>
    <w:p w14:paraId="0D3EA3F7"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Dropout rate is compared across different highest-education groups.</w:t>
      </w:r>
    </w:p>
    <w:p w14:paraId="372503B6"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The highest visible dropout rate is for No Formal qualifications.</w:t>
      </w:r>
    </w:p>
    <w:p w14:paraId="220C33D0"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The lowest visible dropout rate is for Post Graduate Qualification.</w:t>
      </w:r>
    </w:p>
    <w:p w14:paraId="492C6C1B"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color w:val="000000"/>
          <w:sz w:val="28"/>
          <w:szCs w:val="28"/>
        </w:rPr>
        <w:t>3. Pass Rate Analysis</w:t>
      </w:r>
    </w:p>
    <w:p w14:paraId="483C34D4"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Pass rate is compared by highest education.</w:t>
      </w:r>
    </w:p>
    <w:p w14:paraId="48C38DDE"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Post Graduate Qualification has the highest visible pass rate.</w:t>
      </w:r>
    </w:p>
    <w:p w14:paraId="11266A39"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No Formal qualifications has the lowest visible pass rate.</w:t>
      </w:r>
    </w:p>
    <w:p w14:paraId="09C5C7C1"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color w:val="000000"/>
          <w:sz w:val="28"/>
          <w:szCs w:val="28"/>
        </w:rPr>
        <w:t>4. Demographic Analysis</w:t>
      </w:r>
    </w:p>
    <w:p w14:paraId="038CEFB0"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Student distribution is shown by Gender and Region.</w:t>
      </w:r>
    </w:p>
    <w:p w14:paraId="50D3EBBC"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The dashboard compares male and female students across final-result categories.</w:t>
      </w:r>
    </w:p>
    <w:p w14:paraId="6D0758FF"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Regions such as Scotland, Wales, London Region, East Anglian Region, and South Region are visible in the analysis.</w:t>
      </w:r>
    </w:p>
    <w:p w14:paraId="4782A173" w14:textId="77777777" w:rsidR="001F24CF" w:rsidRPr="001F24CF" w:rsidRDefault="001F24CF" w:rsidP="008C0CA1">
      <w:pPr>
        <w:pBdr>
          <w:top w:val="nil"/>
          <w:left w:val="nil"/>
          <w:bottom w:val="nil"/>
          <w:right w:val="nil"/>
          <w:between w:val="nil"/>
        </w:pBdr>
        <w:spacing w:after="200" w:line="240" w:lineRule="auto"/>
        <w:rPr>
          <w:rFonts w:ascii="Cambria" w:eastAsia="Arial" w:hAnsi="Cambria" w:cs="Arial"/>
          <w:b/>
          <w:bCs/>
          <w:color w:val="000000"/>
          <w:sz w:val="28"/>
          <w:szCs w:val="28"/>
        </w:rPr>
      </w:pPr>
    </w:p>
    <w:p w14:paraId="09254382" w14:textId="61384A2E" w:rsidR="001F24CF"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color w:val="000000"/>
          <w:sz w:val="28"/>
          <w:szCs w:val="28"/>
        </w:rPr>
        <w:t>5. Final Result and Gender Analysi</w:t>
      </w:r>
      <w:r w:rsidR="001F24CF" w:rsidRPr="001F24CF">
        <w:rPr>
          <w:rFonts w:ascii="Cambria" w:eastAsia="Arial" w:hAnsi="Cambria" w:cs="Arial"/>
          <w:b/>
          <w:bCs/>
          <w:color w:val="000000"/>
          <w:sz w:val="28"/>
          <w:szCs w:val="28"/>
        </w:rPr>
        <w:t>s</w:t>
      </w:r>
    </w:p>
    <w:p w14:paraId="41DBCA11"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Final results include Pass, Fail, Withdrawn, and Distinction.</w:t>
      </w:r>
    </w:p>
    <w:p w14:paraId="27E3CC70"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The chart compares the distribution of male and female students for each final-result category.</w:t>
      </w:r>
    </w:p>
    <w:p w14:paraId="6926AB7E"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b/>
          <w:bCs/>
          <w:color w:val="000000"/>
          <w:sz w:val="28"/>
          <w:szCs w:val="28"/>
        </w:rPr>
      </w:pPr>
      <w:r w:rsidRPr="001F24CF">
        <w:rPr>
          <w:rFonts w:ascii="Cambria" w:eastAsia="Arial" w:hAnsi="Cambria" w:cs="Arial"/>
          <w:b/>
          <w:bCs/>
          <w:color w:val="000000"/>
          <w:sz w:val="28"/>
          <w:szCs w:val="28"/>
        </w:rPr>
        <w:t>6. Key Findings</w:t>
      </w:r>
    </w:p>
    <w:p w14:paraId="0B8DF391"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Total students: 22,422</w:t>
      </w:r>
    </w:p>
    <w:p w14:paraId="5FC5BFA4"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Four risk categories are shown.</w:t>
      </w:r>
    </w:p>
    <w:p w14:paraId="4055D8BC"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Dropout rate varies by highest education.</w:t>
      </w:r>
    </w:p>
    <w:p w14:paraId="38687C30" w14:textId="77777777" w:rsidR="008C0CA1"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Pass rate varies by highest education.</w:t>
      </w:r>
    </w:p>
    <w:p w14:paraId="36475944" w14:textId="1B7119C0" w:rsidR="000A2522" w:rsidRPr="001F24CF" w:rsidRDefault="008C0CA1" w:rsidP="008C0CA1">
      <w:pPr>
        <w:pBdr>
          <w:top w:val="nil"/>
          <w:left w:val="nil"/>
          <w:bottom w:val="nil"/>
          <w:right w:val="nil"/>
          <w:between w:val="nil"/>
        </w:pBdr>
        <w:spacing w:after="200" w:line="240" w:lineRule="auto"/>
        <w:rPr>
          <w:rFonts w:ascii="Cambria" w:eastAsia="Arial" w:hAnsi="Cambria" w:cs="Arial"/>
          <w:color w:val="000000"/>
          <w:sz w:val="20"/>
          <w:szCs w:val="20"/>
        </w:rPr>
      </w:pPr>
      <w:r w:rsidRPr="001F24CF">
        <w:rPr>
          <w:rFonts w:ascii="Cambria" w:eastAsia="Arial" w:hAnsi="Cambria" w:cs="Arial"/>
          <w:color w:val="000000"/>
          <w:sz w:val="20"/>
          <w:szCs w:val="20"/>
        </w:rPr>
        <w:t>Final results are compared by gender.</w:t>
      </w:r>
    </w:p>
    <w:p w14:paraId="17F48B45" w14:textId="77777777" w:rsidR="000A2522" w:rsidRPr="001F24CF" w:rsidRDefault="00000000">
      <w:pPr>
        <w:rPr>
          <w:rFonts w:ascii="Cambria" w:hAnsi="Cambria"/>
        </w:rPr>
      </w:pPr>
      <w:r w:rsidRPr="001F24CF">
        <w:rPr>
          <w:rFonts w:ascii="Cambria" w:hAnsi="Cambria"/>
        </w:rPr>
        <w:t xml:space="preserve"> </w:t>
      </w:r>
    </w:p>
    <w:sectPr w:rsidR="000A2522" w:rsidRPr="001F24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0F64B39-B074-45A5-802E-AA7E42A9BE3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0D3BB32-EB9D-4D63-A16D-8931C1B94623}"/>
    <w:embedBold r:id="rId3" w:fontKey="{8B9E4DFD-6B66-42DF-ACCD-76477416A2D9}"/>
  </w:font>
  <w:font w:name="Georgia">
    <w:panose1 w:val="02040502050405020303"/>
    <w:charset w:val="00"/>
    <w:family w:val="roman"/>
    <w:pitch w:val="variable"/>
    <w:sig w:usb0="00000287" w:usb1="00000000" w:usb2="00000000" w:usb3="00000000" w:csb0="0000009F" w:csb1="00000000"/>
    <w:embedItalic r:id="rId4" w:fontKey="{9A863EF2-C66E-4061-813F-5F426B6C54E7}"/>
  </w:font>
  <w:font w:name="Cambria">
    <w:panose1 w:val="02040503050406030204"/>
    <w:charset w:val="00"/>
    <w:family w:val="roman"/>
    <w:pitch w:val="variable"/>
    <w:sig w:usb0="E00006FF" w:usb1="420024FF" w:usb2="02000000" w:usb3="00000000" w:csb0="0000019F" w:csb1="00000000"/>
    <w:embedRegular r:id="rId5" w:fontKey="{80CA5211-C425-4748-9152-0F39D4AA5FC1}"/>
    <w:embedBold r:id="rId6" w:fontKey="{FF0671D8-18F4-4C62-99A6-C5C6EAC12FB4}"/>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0D7B5B6B-87B3-4858-B370-35A467EE47F8}"/>
  </w:font>
  <w:font w:name="Gautami">
    <w:panose1 w:val="02000500000000000000"/>
    <w:charset w:val="00"/>
    <w:family w:val="swiss"/>
    <w:pitch w:val="variable"/>
    <w:sig w:usb0="00200003" w:usb1="00000000" w:usb2="00000000" w:usb3="00000000" w:csb0="00000001" w:csb1="00000000"/>
    <w:embedRegular r:id="rId8" w:fontKey="{021CFA28-A24D-4F05-8AEE-25BDADB9553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53477"/>
    <w:multiLevelType w:val="multilevel"/>
    <w:tmpl w:val="F6EED3E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0718CC"/>
    <w:multiLevelType w:val="multilevel"/>
    <w:tmpl w:val="0A3AC0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C247EE1"/>
    <w:multiLevelType w:val="multilevel"/>
    <w:tmpl w:val="C72C9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8ED777B"/>
    <w:multiLevelType w:val="hybridMultilevel"/>
    <w:tmpl w:val="DA8E06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0752DF"/>
    <w:multiLevelType w:val="multilevel"/>
    <w:tmpl w:val="1DD607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8051B7D"/>
    <w:multiLevelType w:val="multilevel"/>
    <w:tmpl w:val="691CE8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F315FF7"/>
    <w:multiLevelType w:val="multilevel"/>
    <w:tmpl w:val="8EE8C8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07749387">
    <w:abstractNumId w:val="1"/>
  </w:num>
  <w:num w:numId="2" w16cid:durableId="974794285">
    <w:abstractNumId w:val="5"/>
  </w:num>
  <w:num w:numId="3" w16cid:durableId="1088769539">
    <w:abstractNumId w:val="4"/>
  </w:num>
  <w:num w:numId="4" w16cid:durableId="1043365583">
    <w:abstractNumId w:val="2"/>
  </w:num>
  <w:num w:numId="5" w16cid:durableId="25100780">
    <w:abstractNumId w:val="6"/>
  </w:num>
  <w:num w:numId="6" w16cid:durableId="1288900971">
    <w:abstractNumId w:val="0"/>
  </w:num>
  <w:num w:numId="7" w16cid:durableId="7186335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522"/>
    <w:rsid w:val="000A2522"/>
    <w:rsid w:val="00120CB2"/>
    <w:rsid w:val="001F24CF"/>
    <w:rsid w:val="008C0CA1"/>
    <w:rsid w:val="00B34BAA"/>
    <w:rsid w:val="00C64B76"/>
    <w:rsid w:val="00E865DC"/>
    <w:rsid w:val="00F62EF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99B1"/>
  <w15:docId w15:val="{C0D43D0D-0731-44F8-9DB0-C7F9740ED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4CF"/>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mounika kambhampati</cp:lastModifiedBy>
  <cp:revision>3</cp:revision>
  <dcterms:created xsi:type="dcterms:W3CDTF">2024-01-13T08:53:00Z</dcterms:created>
  <dcterms:modified xsi:type="dcterms:W3CDTF">2026-09-21T10:40:00Z</dcterms:modified>
</cp:coreProperties>
</file>