
<file path=[Content_Types].xml><?xml version="1.0" encoding="utf-8"?>
<Types xmlns="http://schemas.openxmlformats.org/package/2006/content-types">
  <Default Extension="rels" ContentType="application/vnd.openxmlformats-package.relationships+xml"/>
  <Default Extension="xml" ContentType="application/xml"/>
  <Default Extension="svg" ContentType="image/svg+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BRCA1/2 VUS Prioritization From A Precomputed ARIANE Module 1 Variant Map</w:t>
      </w:r>
    </w:p>
    <w:p>
      <w:pPr>
        <w:pStyle w:val="Heading2"/>
      </w:pPr>
      <w:r>
        <w:t xml:space="preserve">Short Summary</w:t>
      </w:r>
    </w:p>
    <w:p>
      <w:r>
        <w:t xml:space="preserve">This exploratory report describes a working framework for selecting BRCA1/2 VUS candidates that deserve earlier manual review. The framework does not predict pathogenicity and does not reclassify variants. It uses a precomputed ARIANE Module 1 coding SNV map, generated by automatable ENIGMA/ACMG rules, to identify VUS with stronger review signals: SpliceAI signal, proximity to exon boundaries, local pathogenic density, evidence combinations that nearly satisfy ENIGMA rules, structural/domain context, and evidence conflicts such as BS3+PP3.</w:t>
      </w:r>
    </w:p>
    <w:p>
      <w:r>
        <w:t xml:space="preserve">The output is a ranked curation queue, not a clinical classification.</w:t>
      </w:r>
    </w:p>
    <w:p>
      <w:pPr>
        <w:pStyle w:val="Heading2"/>
      </w:pPr>
      <w:r>
        <w:t xml:space="preserve">Background</w:t>
      </w:r>
    </w:p>
    <w:p>
      <w:r>
        <w:t xml:space="preserve">Variants of uncertain significance remain a major practical problem in BRCA1/2 interpretation. Even when a rule-based framework is available, only part of the ACMG/ENIGMA evidence set can be automated reliably. In our ARIANE application, the current automated part corresponds to Module 1: criteria that can be applied from structured inputs and precomputed resources.</w:t>
      </w:r>
    </w:p>
    <w:p>
      <w:r>
        <w:t xml:space="preserve">Some functional or curated criteria can appear in this generated Module 1 map when they are available as structured local resources. In this snapshot those include PS3, BS3, PS1, PP4, and BP5. This does not mean that all functional, RNA, phenotype, or clinical evidence is automatically interpreted. Evidence that is not available in a structured and rule-compatible form still requires manual curation, including segregation, case-control data, trans observations, expert clinical review, and many functional/RNA interpretations. The use of PP4 and BP5 in this snapshot should be checked by a BRCA/ENIGMA domain expert before any clinical-facing or publication-level use.</w:t>
      </w:r>
    </w:p>
    <w:p>
      <w:r>
        <w:t xml:space="preserve">Therefore, the precomputed automated Module 1 map naturally contains a large and heterogeneous VUS set. These VUS are not equivalent. Some have little information beyond population absence. Others are close to a likely pathogenic or likely benign combination but are missing one accepted evidence item. A practical curation tool should help identify which VUS are worth opening first.</w:t>
      </w:r>
    </w:p>
    <w:p>
      <w:pPr>
        <w:pStyle w:val="Heading2"/>
      </w:pPr>
      <w:r>
        <w:t xml:space="preserve">Aim</w:t>
      </w:r>
    </w:p>
    <w:p>
      <w:r>
        <w:t xml:space="preserve">The aim was to build an exploratory triage framework for BRCA1/2 VUS candidates from the precomputed ARIANE Module 1 variant map.</w:t>
      </w:r>
    </w:p>
    <w:p>
      <w:r>
        <w:t xml:space="preserve">The framework asks:</w:t>
      </w:r>
    </w:p>
    <w:p>
      <w:pPr>
        <w:pStyle w:val="ListBullet"/>
        <w:ind w:left="720" w:hanging="360"/>
      </w:pPr>
      <w:r>
        <w:t xml:space="preserve">Which VUS have evidence patterns suggesting that manual review may be</w:t>
      </w:r>
    </w:p>
    <w:p>
      <w:r>
        <w:t xml:space="preserve">informative?</w:t>
      </w:r>
    </w:p>
    <w:p>
      <w:pPr>
        <w:pStyle w:val="ListBullet"/>
        <w:ind w:left="720" w:hanging="360"/>
      </w:pPr>
      <w:r>
        <w:t xml:space="preserve">Which VUS are located in neighborhoods enriched for generated pathogenic</w:t>
      </w:r>
    </w:p>
    <w:p>
      <w:r>
        <w:t xml:space="preserve">variants?</w:t>
      </w:r>
    </w:p>
    <w:p>
      <w:pPr>
        <w:pStyle w:val="ListBullet"/>
        <w:ind w:left="720" w:hanging="360"/>
      </w:pPr>
      <w:r>
        <w:t xml:space="preserve">Which VUS are closer to generated pathogenic than benign variants?</w:t>
      </w:r>
    </w:p>
    <w:p>
      <w:pPr>
        <w:pStyle w:val="ListBullet"/>
        <w:ind w:left="720" w:hanging="360"/>
      </w:pPr>
      <w:r>
        <w:t xml:space="preserve">Which VUS fall in functionally important protein regions?</w:t>
      </w:r>
    </w:p>
    <w:p>
      <w:pPr>
        <w:pStyle w:val="ListBullet"/>
        <w:ind w:left="720" w:hanging="360"/>
      </w:pPr>
      <w:r>
        <w:t xml:space="preserve">Which apparent signals are weakened by benign counterexamples or conflicting</w:t>
      </w:r>
    </w:p>
    <w:p>
      <w:r>
        <w:t xml:space="preserve">evidence?</w:t>
      </w:r>
    </w:p>
    <w:p>
      <w:r>
        <w:t xml:space="preserve">The framework explicitly does not ask:</w:t>
      </w:r>
    </w:p>
    <w:p>
      <w:pPr>
        <w:pStyle w:val="ListBullet"/>
        <w:ind w:left="720" w:hanging="360"/>
      </w:pPr>
      <w:r>
        <w:t xml:space="preserve">Is this VUS pathogenic?</w:t>
      </w:r>
    </w:p>
    <w:p>
      <w:pPr>
        <w:pStyle w:val="ListBullet"/>
        <w:ind w:left="720" w:hanging="360"/>
      </w:pPr>
      <w:r>
        <w:t xml:space="preserve">Should the VUS be upgraded automatically?</w:t>
      </w:r>
    </w:p>
    <w:p>
      <w:pPr>
        <w:pStyle w:val="ListBullet"/>
        <w:ind w:left="720" w:hanging="360"/>
      </w:pPr>
      <w:r>
        <w:t xml:space="preserve">Can domain membership be used as an ACMG/ENIGMA criterion?</w:t>
      </w:r>
    </w:p>
    <w:p>
      <w:pPr>
        <w:pStyle w:val="Heading2"/>
      </w:pPr>
      <w:r>
        <w:t xml:space="preserve">Dataset Generation</w:t>
      </w:r>
    </w:p>
    <w:p>
      <w:r>
        <w:t xml:space="preserve">The starting point was the full precomputed BRCA1/2 coding SNV classification map:</w:t>
      </w:r>
    </w:p>
    <w:p>
      <w:r>
        <w:t xml:space="preserve">variant_space_scan/outputs/brca_module1_full_snv_classification.csv</w:t>
      </w:r>
    </w:p>
    <w:p>
      <w:r>
        <w:t xml:space="preserve">This map was generated by applying the current ARIANE automatable Module 1 rules to coding SNVs in BRCA1 and BRCA2. In the current snapshot, the observed automated criteria were:</w:t>
      </w:r>
    </w:p>
    <w:p>
      <w:pPr>
        <w:pStyle w:val="ListBullet"/>
        <w:ind w:left="720" w:hanging="360"/>
      </w:pPr>
      <w:r>
        <w:t xml:space="preserve">population/frequency criteria: PM2_Supporting, BA1, BS1_Supporting,</w:t>
      </w:r>
    </w:p>
    <w:p>
      <w:r>
        <w:t xml:space="preserve">BS1_Strong</w:t>
      </w:r>
    </w:p>
    <w:p>
      <w:pPr>
        <w:pStyle w:val="ListBullet"/>
        <w:ind w:left="720" w:hanging="360"/>
      </w:pPr>
      <w:r>
        <w:t xml:space="preserve">predicted or RNA-like splice/computational criteria: PP3, BP4, BP7</w:t>
      </w:r>
    </w:p>
    <w:p>
      <w:pPr>
        <w:pStyle w:val="ListBullet"/>
        <w:ind w:left="720" w:hanging="360"/>
      </w:pPr>
      <w:r>
        <w:t xml:space="preserve">protein consequence criteria: PVS1, PM5_PTC, BP1</w:t>
      </w:r>
    </w:p>
    <w:p>
      <w:pPr>
        <w:pStyle w:val="ListBullet"/>
        <w:ind w:left="720" w:hanging="360"/>
      </w:pPr>
      <w:r>
        <w:t xml:space="preserve">structured functional or curated evidence criteria available to this local</w:t>
      </w:r>
    </w:p>
    <w:p>
      <w:r>
        <w:t xml:space="preserve">snapshot: PS3, BS3, PS1, PP4, BP5</w:t>
      </w:r>
    </w:p>
    <w:p>
      <w:r>
        <w:t xml:space="preserve">Two implementation labels require special caution. PM5_PTC is an internal ARIANE label for an ENIGMA/CanVIG-style premature-termination-codon context, not a standard ACMG code name. PP4 and BP5 are included because they appear in the current structured snapshot, but their automated use for BRCA1/2 should be reviewed against the current ENIGMA specification.</w:t>
      </w:r>
    </w:p>
    <w:p>
      <w:r>
        <w:t xml:space="preserve">The map includes:</w:t>
      </w:r>
    </w:p>
    <w:p>
      <w:pPr>
        <w:pStyle w:val="ListBullet"/>
        <w:ind w:left="720" w:hanging="360"/>
      </w:pPr>
      <w:r>
        <w:t xml:space="preserve">gene and HGVS c./p. notation</w:t>
      </w:r>
    </w:p>
    <w:p>
      <w:pPr>
        <w:pStyle w:val="ListBullet"/>
        <w:ind w:left="720" w:hanging="360"/>
      </w:pPr>
      <w:r>
        <w:t xml:space="preserve">variant type</w:t>
      </w:r>
    </w:p>
    <w:p>
      <w:pPr>
        <w:pStyle w:val="ListBullet"/>
        <w:ind w:left="720" w:hanging="360"/>
      </w:pPr>
      <w:r>
        <w:t xml:space="preserve">SpliceAI score from the local SpliceAI cache</w:t>
      </w:r>
    </w:p>
    <w:p>
      <w:pPr>
        <w:pStyle w:val="ListBullet"/>
        <w:ind w:left="720" w:hanging="360"/>
      </w:pPr>
      <w:r>
        <w:t xml:space="preserve">population-frequency status from the local gnomAD cache</w:t>
      </w:r>
    </w:p>
    <w:p>
      <w:pPr>
        <w:pStyle w:val="ListBullet"/>
        <w:ind w:left="720" w:hanging="360"/>
      </w:pPr>
      <w:r>
        <w:t xml:space="preserve">applied automated ACMG/ENIGMA criteria</w:t>
      </w:r>
    </w:p>
    <w:p>
      <w:pPr>
        <w:pStyle w:val="ListBullet"/>
        <w:ind w:left="720" w:hanging="360"/>
      </w:pPr>
      <w:r>
        <w:t xml:space="preserve">total point score</w:t>
      </w:r>
    </w:p>
    <w:p>
      <w:pPr>
        <w:pStyle w:val="ListBullet"/>
        <w:ind w:left="720" w:hanging="360"/>
      </w:pPr>
      <w:r>
        <w:t xml:space="preserve">generated class 1 to 5 output from those automatable rules</w:t>
      </w:r>
    </w:p>
    <w:p>
      <w:pPr>
        <w:pStyle w:val="ListBullet"/>
        <w:ind w:left="720" w:hanging="360"/>
      </w:pPr>
      <w:r>
        <w:t xml:space="preserve">warnings and notes about non-automated criteria</w:t>
      </w:r>
    </w:p>
    <w:p>
      <w:r>
        <w:t xml:space="preserve">The analysis was limited to coding SNVs. It does not include indels, multi-exon CNVs, deep intronic variants, promoter variants, UTR variants, or other noncoding variant classes.</w:t>
      </w:r>
    </w:p>
    <w:p>
      <w:pPr>
        <w:pStyle w:val="Heading2"/>
      </w:pPr>
      <w:r>
        <w:t xml:space="preserve">Important Interpretation Boundary</w:t>
      </w:r>
    </w:p>
    <w:p>
      <w:r>
        <w:t xml:space="preserve">All analyses in this report describe patterns in the precomputed ARIANE Module 1 variant map. This is not a map of biological truth, and it is not an independent clinical classification set. It is a map of how coding SNVs are classified when the current automatable Module 1 rules are applied.</w:t>
      </w:r>
    </w:p>
    <w:p>
      <w:r>
        <w:t xml:space="preserve">Terms such as pathogenic density, pathogenic neighborhood, domain enrichment, or high-priority VUS mean that a variant is interesting for manual review within this precomputed automated-rule map. They do not mean that the variant is pathogenic.</w:t>
      </w:r>
    </w:p>
    <w:p>
      <w:r>
        <w:t xml:space="preserve">Local pathogenic enrichment is a context signal, not an ACMG/ENIGMA evidence criterion.</w:t>
      </w:r>
    </w:p>
    <w:p>
      <w:pPr>
        <w:pStyle w:val="Heading2"/>
      </w:pPr>
      <w:r>
        <w:t xml:space="preserve">Methods</w:t>
      </w:r>
    </w:p>
    <w:p>
      <w:pPr>
        <w:pStyle w:val="Heading3"/>
      </w:pPr>
      <w:r>
        <w:t xml:space="preserve">VUS Selection</w:t>
      </w:r>
    </w:p>
    <w:p>
      <w:r>
        <w:t xml:space="preserve">Variants classified as class 3 by the automated Module 1 snapshot were selected as VUS. In the current snapshot, the VUS set contained:</w:t>
      </w:r>
    </w:p>
    <w:p>
      <w:pPr>
        <w:pStyle w:val="ListBullet"/>
        <w:ind w:left="720" w:hanging="360"/>
      </w:pPr>
      <w:r>
        <w:t xml:space="preserve">total VUS: 8154</w:t>
      </w:r>
    </w:p>
    <w:p>
      <w:r>
        <w:t xml:space="preserve">Each VUS was annotated with:</w:t>
      </w:r>
    </w:p>
    <w:p>
      <w:pPr>
        <w:pStyle w:val="ListBullet"/>
        <w:ind w:left="720" w:hanging="360"/>
      </w:pPr>
      <w:r>
        <w:t xml:space="preserve">CDS position</w:t>
      </w:r>
    </w:p>
    <w:p>
      <w:pPr>
        <w:pStyle w:val="ListBullet"/>
        <w:ind w:left="720" w:hanging="360"/>
      </w:pPr>
      <w:r>
        <w:t xml:space="preserve">CDS exon</w:t>
      </w:r>
    </w:p>
    <w:p>
      <w:pPr>
        <w:pStyle w:val="ListBullet"/>
        <w:ind w:left="720" w:hanging="360"/>
      </w:pPr>
      <w:r>
        <w:t xml:space="preserve">distance to the nearest CDS exon boundary</w:t>
      </w:r>
    </w:p>
    <w:p>
      <w:pPr>
        <w:pStyle w:val="ListBullet"/>
        <w:ind w:left="720" w:hanging="360"/>
      </w:pPr>
      <w:r>
        <w:t xml:space="preserve">SpliceAI score</w:t>
      </w:r>
    </w:p>
    <w:p>
      <w:pPr>
        <w:pStyle w:val="ListBullet"/>
        <w:ind w:left="720" w:hanging="360"/>
      </w:pPr>
      <w:r>
        <w:t xml:space="preserve">applied criteria</w:t>
      </w:r>
    </w:p>
    <w:p>
      <w:pPr>
        <w:pStyle w:val="ListBullet"/>
        <w:ind w:left="720" w:hanging="360"/>
      </w:pPr>
      <w:r>
        <w:t xml:space="preserve">local counts of nearby benign, VUS, and pathogenic generated variants</w:t>
      </w:r>
    </w:p>
    <w:p>
      <w:pPr>
        <w:pStyle w:val="ListBullet"/>
        <w:ind w:left="720" w:hanging="360"/>
      </w:pPr>
      <w:r>
        <w:t xml:space="preserve">review category</w:t>
      </w:r>
    </w:p>
    <w:p>
      <w:pPr>
        <w:pStyle w:val="ListBullet"/>
        <w:ind w:left="720" w:hanging="360"/>
      </w:pPr>
      <w:r>
        <w:t xml:space="preserve">priority score</w:t>
      </w:r>
    </w:p>
    <w:p>
      <w:pPr>
        <w:pStyle w:val="Heading3"/>
      </w:pPr>
      <w:r>
        <w:t xml:space="preserve">Review Priority Score</w:t>
      </w:r>
    </w:p>
    <w:p>
      <w:r>
        <w:t xml:space="preserve">A heuristic review score was assigned to each VUS. The score is not a classifier. It is a practical sorting key for manual review.</w:t>
      </w:r>
    </w:p>
    <w:p>
      <w:r>
        <w:t xml:space="preserve">Signals that increase priority are additive, but the SpliceAI and boundary components are tiered rather than double-counted. A variant with SpliceAI &gt;= 0.20 receives the 30-point high-SpliceAI weight, not both the 30-point and 12-point weights. A variant within 2 bp of a CDS exon boundary receives the 20-point boundary weight, not both the 20-point and 8-point weights.</w:t>
      </w:r>
    </w:p>
    <w:p>
      <w:r>
        <w:t xml:space="preserve">The current heuristic weights are: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Priority component</w:t>
            </w:r>
          </w:p>
        </w:tc>
        <w:tc>
          <w:tcPr>
            <w:tcW w:w="2400" w:type="dxa"/>
            <w:shd w:fill="EDEDED"/>
          </w:tcPr>
          <w:p>
            <w:r>
              <w:t xml:space="preserve">Weight</w:t>
            </w:r>
          </w:p>
        </w:tc>
      </w:tr>
      <w:tr>
        <w:tc>
          <w:tcPr>
            <w:tcW w:w="2400" w:type="dxa"/>
          </w:tcPr>
          <w:p>
            <w:r>
              <w:t xml:space="preserve">SpliceAI &gt;= 0.20</w:t>
            </w:r>
          </w:p>
        </w:tc>
        <w:tc>
          <w:tcPr>
            <w:tcW w:w="2400" w:type="dxa"/>
          </w:tcPr>
          <w:p>
            <w:r>
              <w:t xml:space="preserve">30</w:t>
            </w:r>
          </w:p>
        </w:tc>
      </w:tr>
      <w:tr>
        <w:tc>
          <w:tcPr>
            <w:tcW w:w="2400" w:type="dxa"/>
          </w:tcPr>
          <w:p>
            <w:r>
              <w:t xml:space="preserve">SpliceAI &gt;= 0.10 and &lt; 0.20</w:t>
            </w:r>
          </w:p>
        </w:tc>
        <w:tc>
          <w:tcPr>
            <w:tcW w:w="2400" w:type="dxa"/>
          </w:tcPr>
          <w:p>
            <w:r>
              <w:t xml:space="preserve">12</w:t>
            </w:r>
          </w:p>
        </w:tc>
      </w:tr>
      <w:tr>
        <w:tc>
          <w:tcPr>
            <w:tcW w:w="2400" w:type="dxa"/>
          </w:tcPr>
          <w:p>
            <w:r>
              <w:t xml:space="preserve">within 2 bp of a CDS exon boundary</w:t>
            </w:r>
          </w:p>
        </w:tc>
        <w:tc>
          <w:tcPr>
            <w:tcW w:w="2400" w:type="dxa"/>
          </w:tcPr>
          <w:p>
            <w:r>
              <w:t xml:space="preserve">20</w:t>
            </w:r>
          </w:p>
        </w:tc>
      </w:tr>
      <w:tr>
        <w:tc>
          <w:tcPr>
            <w:tcW w:w="2400" w:type="dxa"/>
          </w:tcPr>
          <w:p>
            <w:r>
              <w:t xml:space="preserve">within 10 bp but &gt;2 bp from a CDS exon boundary</w:t>
            </w:r>
          </w:p>
        </w:tc>
        <w:tc>
          <w:tcPr>
            <w:tcW w:w="2400" w:type="dxa"/>
          </w:tcPr>
          <w:p>
            <w:r>
              <w:t xml:space="preserve">8</w:t>
            </w:r>
          </w:p>
        </w:tc>
      </w:tr>
      <w:tr>
        <w:tc>
          <w:tcPr>
            <w:tcW w:w="2400" w:type="dxa"/>
          </w:tcPr>
          <w:p>
            <w:r>
              <w:t xml:space="preserve">PVS1 present</w:t>
            </w:r>
          </w:p>
        </w:tc>
        <w:tc>
          <w:tcPr>
            <w:tcW w:w="2400" w:type="dxa"/>
          </w:tcPr>
          <w:p>
            <w:r>
              <w:t xml:space="preserve">35</w:t>
            </w:r>
          </w:p>
        </w:tc>
      </w:tr>
      <w:tr>
        <w:tc>
          <w:tcPr>
            <w:tcW w:w="2400" w:type="dxa"/>
          </w:tcPr>
          <w:p>
            <w:r>
              <w:t xml:space="preserve">PS3 present</w:t>
            </w:r>
          </w:p>
        </w:tc>
        <w:tc>
          <w:tcPr>
            <w:tcW w:w="2400" w:type="dxa"/>
          </w:tcPr>
          <w:p>
            <w:r>
              <w:t xml:space="preserve">25</w:t>
            </w:r>
          </w:p>
        </w:tc>
      </w:tr>
      <w:tr>
        <w:tc>
          <w:tcPr>
            <w:tcW w:w="2400" w:type="dxa"/>
          </w:tcPr>
          <w:p>
            <w:r>
              <w:t xml:space="preserve">PS1 present</w:t>
            </w:r>
          </w:p>
        </w:tc>
        <w:tc>
          <w:tcPr>
            <w:tcW w:w="2400" w:type="dxa"/>
          </w:tcPr>
          <w:p>
            <w:r>
              <w:t xml:space="preserve">18</w:t>
            </w:r>
          </w:p>
        </w:tc>
      </w:tr>
      <w:tr>
        <w:tc>
          <w:tcPr>
            <w:tcW w:w="2400" w:type="dxa"/>
          </w:tcPr>
          <w:p>
            <w:r>
              <w:t xml:space="preserve">PP3 present</w:t>
            </w:r>
          </w:p>
        </w:tc>
        <w:tc>
          <w:tcPr>
            <w:tcW w:w="2400" w:type="dxa"/>
          </w:tcPr>
          <w:p>
            <w:r>
              <w:t xml:space="preserve">15</w:t>
            </w:r>
          </w:p>
        </w:tc>
      </w:tr>
      <w:tr>
        <w:tc>
          <w:tcPr>
            <w:tcW w:w="2400" w:type="dxa"/>
          </w:tcPr>
          <w:p>
            <w:r>
              <w:t xml:space="preserve">PP4 present</w:t>
            </w:r>
          </w:p>
        </w:tc>
        <w:tc>
          <w:tcPr>
            <w:tcW w:w="2400" w:type="dxa"/>
          </w:tcPr>
          <w:p>
            <w:r>
              <w:t xml:space="preserve">15</w:t>
            </w:r>
          </w:p>
        </w:tc>
      </w:tr>
      <w:tr>
        <w:tc>
          <w:tcPr>
            <w:tcW w:w="2400" w:type="dxa"/>
          </w:tcPr>
          <w:p>
            <w:r>
              <w:t xml:space="preserve">BS3 present</w:t>
            </w:r>
          </w:p>
        </w:tc>
        <w:tc>
          <w:tcPr>
            <w:tcW w:w="2400" w:type="dxa"/>
          </w:tcPr>
          <w:p>
            <w:r>
              <w:t xml:space="preserve">8</w:t>
            </w:r>
          </w:p>
        </w:tc>
      </w:tr>
      <w:tr>
        <w:tc>
          <w:tcPr>
            <w:tcW w:w="2400" w:type="dxa"/>
          </w:tcPr>
          <w:p>
            <w:r>
              <w:t xml:space="preserve">near_pathogenic_dense: at least 5 class 4/5 variants within +/-20 coding bp</w:t>
            </w:r>
          </w:p>
        </w:tc>
        <w:tc>
          <w:tcPr>
            <w:tcW w:w="2400" w:type="dxa"/>
          </w:tcPr>
          <w:p>
            <w:r>
              <w:t xml:space="preserve">12</w:t>
            </w:r>
          </w:p>
        </w:tc>
      </w:tr>
      <w:tr>
        <w:tc>
          <w:tcPr>
            <w:tcW w:w="2400" w:type="dxa"/>
          </w:tcPr>
          <w:p>
            <w:r>
              <w:t xml:space="preserve">high_spliceai_in_benign_dense_region: SpliceAI &gt;= 0.20 and at least 20 class 1/2 variants within +/-20 coding bp</w:t>
            </w:r>
          </w:p>
        </w:tc>
        <w:tc>
          <w:tcPr>
            <w:tcW w:w="2400" w:type="dxa"/>
          </w:tcPr>
          <w:p>
            <w:r>
              <w:t xml:space="preserve">8</w:t>
            </w:r>
          </w:p>
        </w:tc>
      </w:tr>
    </w:tbl>
    <w:p>
      <w:r>
        <w:t xml:space="preserve">The tiers are assigned from the total score: tier1_urgent for score &gt;= 80, tier2_high for score &gt;= 50, tier3_medium for score &gt;= 25, and tier4_low below 25.</w:t>
      </w:r>
    </w:p>
    <w:p>
      <w:r>
        <w:t xml:space="preserve">The resulting tiers were: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Tier</w:t>
            </w:r>
          </w:p>
        </w:tc>
        <w:tc>
          <w:tcPr>
            <w:tcW w:w="2400" w:type="dxa"/>
            <w:shd w:fill="EDEDED"/>
          </w:tcPr>
          <w:p>
            <w:r>
              <w:t xml:space="preserve">Count</w:t>
            </w:r>
          </w:p>
        </w:tc>
      </w:tr>
      <w:tr>
        <w:tc>
          <w:tcPr>
            <w:tcW w:w="2400" w:type="dxa"/>
          </w:tcPr>
          <w:p>
            <w:r>
              <w:t xml:space="preserve">tier1_urgent</w:t>
            </w:r>
          </w:p>
        </w:tc>
        <w:tc>
          <w:tcPr>
            <w:tcW w:w="2400" w:type="dxa"/>
          </w:tcPr>
          <w:p>
            <w:r>
              <w:t xml:space="preserve">99</w:t>
            </w:r>
          </w:p>
        </w:tc>
      </w:tr>
      <w:tr>
        <w:tc>
          <w:tcPr>
            <w:tcW w:w="2400" w:type="dxa"/>
          </w:tcPr>
          <w:p>
            <w:r>
              <w:t xml:space="preserve">tier2_high</w:t>
            </w:r>
          </w:p>
        </w:tc>
        <w:tc>
          <w:tcPr>
            <w:tcW w:w="2400" w:type="dxa"/>
          </w:tcPr>
          <w:p>
            <w:r>
              <w:t xml:space="preserve">760</w:t>
            </w:r>
          </w:p>
        </w:tc>
      </w:tr>
      <w:tr>
        <w:tc>
          <w:tcPr>
            <w:tcW w:w="2400" w:type="dxa"/>
          </w:tcPr>
          <w:p>
            <w:r>
              <w:t xml:space="preserve">tier3_medium</w:t>
            </w:r>
          </w:p>
        </w:tc>
        <w:tc>
          <w:tcPr>
            <w:tcW w:w="2400" w:type="dxa"/>
          </w:tcPr>
          <w:p>
            <w:r>
              <w:t xml:space="preserve">733</w:t>
            </w:r>
          </w:p>
        </w:tc>
      </w:tr>
      <w:tr>
        <w:tc>
          <w:tcPr>
            <w:tcW w:w="2400" w:type="dxa"/>
          </w:tcPr>
          <w:p>
            <w:r>
              <w:t xml:space="preserve">tier4_low</w:t>
            </w:r>
          </w:p>
        </w:tc>
        <w:tc>
          <w:tcPr>
            <w:tcW w:w="2400" w:type="dxa"/>
          </w:tcPr>
          <w:p>
            <w:r>
              <w:t xml:space="preserve">6562</w:t>
            </w:r>
          </w:p>
        </w:tc>
      </w:tr>
    </w:tbl>
    <w:p>
      <w:r>
        <w:t xml:space="preserve">The practical first-pass review list is therefore not all VUS, but primarily the tier1_urgent and tier2_high groups.</w:t>
      </w:r>
    </w:p>
    <w:p>
      <w:pPr>
        <w:pStyle w:val="Heading3"/>
      </w:pPr>
      <w:r>
        <w:t xml:space="preserve">Neighborhood Contribution To The Priority Score</w:t>
      </w:r>
    </w:p>
    <w:p>
      <w:r>
        <w:t xml:space="preserve">Because the precomputed map is generated by the same automated Module 1 rules that define the neighboring benign and pathogenic groups, local-neighborhood signals are not independent evidence. We therefore repeated the priority-tier assignment after removing the two neighborhood-derived score components:</w:t>
      </w:r>
    </w:p>
    <w:p>
      <w:pPr>
        <w:pStyle w:val="ListBullet"/>
        <w:ind w:left="720" w:hanging="360"/>
      </w:pPr>
      <w:r>
        <w:t xml:space="preserve">near_pathogenic_dense: 12 points</w:t>
      </w:r>
    </w:p>
    <w:p>
      <w:pPr>
        <w:pStyle w:val="ListBullet"/>
        <w:ind w:left="720" w:hanging="360"/>
      </w:pPr>
      <w:r>
        <w:t xml:space="preserve">high_spliceai_in_benign_dense_region: 8 points</w:t>
      </w:r>
    </w:p>
    <w:p>
      <w:r>
        <w:t xml:space="preserve">This sensitivity analysis showed that neighborhood context contributes substantially to the current high-priority queue: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Metric</w:t>
            </w:r>
          </w:p>
        </w:tc>
        <w:tc>
          <w:tcPr>
            <w:tcW w:w="2400" w:type="dxa"/>
            <w:shd w:fill="EDEDED"/>
          </w:tcPr>
          <w:p>
            <w:r>
              <w:t xml:space="preserve">Count</w:t>
            </w:r>
          </w:p>
        </w:tc>
        <w:tc>
          <w:tcPr>
            <w:tcW w:w="2400" w:type="dxa"/>
            <w:shd w:fill="EDEDED"/>
          </w:tcPr>
          <w:p>
            <w:r>
              <w:t xml:space="preserve">Percent of VUS</w:t>
            </w:r>
          </w:p>
        </w:tc>
      </w:tr>
      <w:tr>
        <w:tc>
          <w:tcPr>
            <w:tcW w:w="2400" w:type="dxa"/>
          </w:tcPr>
          <w:p>
            <w:r>
              <w:t xml:space="preserve">total VUS</w:t>
            </w:r>
          </w:p>
        </w:tc>
        <w:tc>
          <w:tcPr>
            <w:tcW w:w="2400" w:type="dxa"/>
          </w:tcPr>
          <w:p>
            <w:r>
              <w:t xml:space="preserve">8154</w:t>
            </w:r>
          </w:p>
        </w:tc>
        <w:tc>
          <w:tcPr>
            <w:tcW w:w="2400" w:type="dxa"/>
          </w:tcPr>
          <w:p>
            <w:r>
              <w:t xml:space="preserve">100.00</w:t>
            </w:r>
          </w:p>
        </w:tc>
      </w:tr>
      <w:tr>
        <w:tc>
          <w:tcPr>
            <w:tcW w:w="2400" w:type="dxa"/>
          </w:tcPr>
          <w:p>
            <w:r>
              <w:t xml:space="preserve">VUS with any neighborhood reason</w:t>
            </w:r>
          </w:p>
        </w:tc>
        <w:tc>
          <w:tcPr>
            <w:tcW w:w="2400" w:type="dxa"/>
          </w:tcPr>
          <w:p>
            <w:r>
              <w:t xml:space="preserve">6249</w:t>
            </w:r>
          </w:p>
        </w:tc>
        <w:tc>
          <w:tcPr>
            <w:tcW w:w="2400" w:type="dxa"/>
          </w:tcPr>
          <w:p>
            <w:r>
              <w:t xml:space="preserve">76.64</w:t>
            </w:r>
          </w:p>
        </w:tc>
      </w:tr>
      <w:tr>
        <w:tc>
          <w:tcPr>
            <w:tcW w:w="2400" w:type="dxa"/>
          </w:tcPr>
          <w:p>
            <w:r>
              <w:t xml:space="preserve">VUS with only neighborhood reasons</w:t>
            </w:r>
          </w:p>
        </w:tc>
        <w:tc>
          <w:tcPr>
            <w:tcW w:w="2400" w:type="dxa"/>
          </w:tcPr>
          <w:p>
            <w:r>
              <w:t xml:space="preserve">5018</w:t>
            </w:r>
          </w:p>
        </w:tc>
        <w:tc>
          <w:tcPr>
            <w:tcW w:w="2400" w:type="dxa"/>
          </w:tcPr>
          <w:p>
            <w:r>
              <w:t xml:space="preserve">61.54</w:t>
            </w:r>
          </w:p>
        </w:tc>
      </w:tr>
      <w:tr>
        <w:tc>
          <w:tcPr>
            <w:tcW w:w="2400" w:type="dxa"/>
          </w:tcPr>
          <w:p>
            <w:r>
              <w:t xml:space="preserve">tier1/tier2 original</w:t>
            </w:r>
          </w:p>
        </w:tc>
        <w:tc>
          <w:tcPr>
            <w:tcW w:w="2400" w:type="dxa"/>
          </w:tcPr>
          <w:p>
            <w:r>
              <w:t xml:space="preserve">859</w:t>
            </w:r>
          </w:p>
        </w:tc>
        <w:tc>
          <w:tcPr>
            <w:tcW w:w="2400" w:type="dxa"/>
          </w:tcPr>
          <w:p>
            <w:r>
              <w:t xml:space="preserve">10.53</w:t>
            </w:r>
          </w:p>
        </w:tc>
      </w:tr>
      <w:tr>
        <w:tc>
          <w:tcPr>
            <w:tcW w:w="2400" w:type="dxa"/>
          </w:tcPr>
          <w:p>
            <w:r>
              <w:t xml:space="preserve">tier1/tier2 without neighborhood points</w:t>
            </w:r>
          </w:p>
        </w:tc>
        <w:tc>
          <w:tcPr>
            <w:tcW w:w="2400" w:type="dxa"/>
          </w:tcPr>
          <w:p>
            <w:r>
              <w:t xml:space="preserve">286</w:t>
            </w:r>
          </w:p>
        </w:tc>
        <w:tc>
          <w:tcPr>
            <w:tcW w:w="2400" w:type="dxa"/>
          </w:tcPr>
          <w:p>
            <w:r>
              <w:t xml:space="preserve">3.51</w:t>
            </w:r>
          </w:p>
        </w:tc>
      </w:tr>
      <w:tr>
        <w:tc>
          <w:tcPr>
            <w:tcW w:w="2400" w:type="dxa"/>
          </w:tcPr>
          <w:p>
            <w:r>
              <w:t xml:space="preserve">lost tier1/tier2 without neighborhood points</w:t>
            </w:r>
          </w:p>
        </w:tc>
        <w:tc>
          <w:tcPr>
            <w:tcW w:w="2400" w:type="dxa"/>
          </w:tcPr>
          <w:p>
            <w:r>
              <w:t xml:space="preserve">573</w:t>
            </w:r>
          </w:p>
        </w:tc>
        <w:tc>
          <w:tcPr>
            <w:tcW w:w="2400" w:type="dxa"/>
          </w:tcPr>
          <w:p>
            <w:r>
              <w:t xml:space="preserve">7.03</w:t>
            </w:r>
          </w:p>
        </w:tc>
      </w:tr>
    </w:tbl>
    <w:p>
      <w:r>
        <w:t xml:space="preserve">The interpretation is therefore deliberately cautious. VUS that remain tier1/tier2 after removing neighborhood points are prioritized mainly by variant-level signals such as SpliceAI, boundary proximity, PS3, PP3, PS1, PVS1, PP4, or BS3. VUS that drop out of tier1/tier2 after removing neighborhood points should be labelled as neighborhood-driven candidates. These are useful for mechanism review and visual triage, but they should not be presented as independently high-priority without external validation.</w:t>
      </w:r>
    </w:p>
    <w:p>
      <w:pPr>
        <w:pStyle w:val="Heading3"/>
      </w:pPr>
      <w:r>
        <w:t xml:space="preserve">VUS Bottleneck Analysis</w:t>
      </w:r>
    </w:p>
    <w:p>
      <w:r>
        <w:t xml:space="preserve">VUS were grouped by the reason they remained uncertain. The major bottlenecks were: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Bottleneck</w:t>
            </w:r>
          </w:p>
        </w:tc>
        <w:tc>
          <w:tcPr>
            <w:tcW w:w="2400" w:type="dxa"/>
            <w:shd w:fill="EDEDED"/>
          </w:tcPr>
          <w:p>
            <w:r>
              <w:t xml:space="preserve">Count</w:t>
            </w:r>
          </w:p>
        </w:tc>
        <w:tc>
          <w:tcPr>
            <w:tcW w:w="2400" w:type="dxa"/>
            <w:shd w:fill="EDEDED"/>
          </w:tcPr>
          <w:p>
            <w:r>
              <w:t xml:space="preserve">Interpretation</w:t>
            </w:r>
          </w:p>
        </w:tc>
      </w:tr>
      <w:tr>
        <w:tc>
          <w:tcPr>
            <w:tcW w:w="2400" w:type="dxa"/>
          </w:tcPr>
          <w:p>
            <w:r>
              <w:t xml:space="preserve">PM2_only</w:t>
            </w:r>
          </w:p>
        </w:tc>
        <w:tc>
          <w:tcPr>
            <w:tcW w:w="2400" w:type="dxa"/>
          </w:tcPr>
          <w:p>
            <w:r>
              <w:t xml:space="preserve">5046</w:t>
            </w:r>
          </w:p>
        </w:tc>
        <w:tc>
          <w:tcPr>
            <w:tcW w:w="2400" w:type="dxa"/>
          </w:tcPr>
          <w:p>
            <w:r>
              <w:t xml:space="preserve">population absence is the only supporting pathogenic evidence</w:t>
            </w:r>
          </w:p>
        </w:tc>
      </w:tr>
      <w:tr>
        <w:tc>
          <w:tcPr>
            <w:tcW w:w="2400" w:type="dxa"/>
          </w:tcPr>
          <w:p>
            <w:r>
              <w:t xml:space="preserve">mixed_splice_benign_and_pathogenic</w:t>
            </w:r>
          </w:p>
        </w:tc>
        <w:tc>
          <w:tcPr>
            <w:tcW w:w="2400" w:type="dxa"/>
          </w:tcPr>
          <w:p>
            <w:r>
              <w:t xml:space="preserve">1276</w:t>
            </w:r>
          </w:p>
        </w:tc>
        <w:tc>
          <w:tcPr>
            <w:tcW w:w="2400" w:type="dxa"/>
          </w:tcPr>
          <w:p>
            <w:r>
              <w:t xml:space="preserve">benign splice evidence plus PM2 background</w:t>
            </w:r>
          </w:p>
        </w:tc>
      </w:tr>
      <w:tr>
        <w:tc>
          <w:tcPr>
            <w:tcW w:w="2400" w:type="dxa"/>
          </w:tcPr>
          <w:p>
            <w:r>
              <w:t xml:space="preserve">computational_pathogenic_evidence_not_enough</w:t>
            </w:r>
          </w:p>
        </w:tc>
        <w:tc>
          <w:tcPr>
            <w:tcW w:w="2400" w:type="dxa"/>
          </w:tcPr>
          <w:p>
            <w:r>
              <w:t xml:space="preserve">842</w:t>
            </w:r>
          </w:p>
        </w:tc>
        <w:tc>
          <w:tcPr>
            <w:tcW w:w="2400" w:type="dxa"/>
          </w:tcPr>
          <w:p>
            <w:r>
              <w:t xml:space="preserve">PP3 or SpliceAI signal is insufficient alone</w:t>
            </w:r>
          </w:p>
        </w:tc>
      </w:tr>
      <w:tr>
        <w:tc>
          <w:tcPr>
            <w:tcW w:w="2400" w:type="dxa"/>
          </w:tcPr>
          <w:p>
            <w:r>
              <w:t xml:space="preserve">strong_pathogenic_combo_one_step_short</w:t>
            </w:r>
          </w:p>
        </w:tc>
        <w:tc>
          <w:tcPr>
            <w:tcW w:w="2400" w:type="dxa"/>
          </w:tcPr>
          <w:p>
            <w:r>
              <w:t xml:space="preserve">446</w:t>
            </w:r>
          </w:p>
        </w:tc>
        <w:tc>
          <w:tcPr>
            <w:tcW w:w="2400" w:type="dxa"/>
          </w:tcPr>
          <w:p>
            <w:r>
              <w:t xml:space="preserve">strong pathogenic evidence but missing one accepted item</w:t>
            </w:r>
          </w:p>
        </w:tc>
      </w:tr>
      <w:tr>
        <w:tc>
          <w:tcPr>
            <w:tcW w:w="2400" w:type="dxa"/>
          </w:tcPr>
          <w:p>
            <w:r>
              <w:t xml:space="preserve">no_automated_evidence</w:t>
            </w:r>
          </w:p>
        </w:tc>
        <w:tc>
          <w:tcPr>
            <w:tcW w:w="2400" w:type="dxa"/>
          </w:tcPr>
          <w:p>
            <w:r>
              <w:t xml:space="preserve">331</w:t>
            </w:r>
          </w:p>
        </w:tc>
        <w:tc>
          <w:tcPr>
            <w:tcW w:w="2400" w:type="dxa"/>
          </w:tcPr>
          <w:p>
            <w:r>
              <w:t xml:space="preserve">no useful Module 1 evidence</w:t>
            </w:r>
          </w:p>
        </w:tc>
      </w:tr>
      <w:tr>
        <w:tc>
          <w:tcPr>
            <w:tcW w:w="2400" w:type="dxa"/>
          </w:tcPr>
          <w:p>
            <w:r>
              <w:t xml:space="preserve">benign_functional_evidence_not_enough</w:t>
            </w:r>
          </w:p>
        </w:tc>
        <w:tc>
          <w:tcPr>
            <w:tcW w:w="2400" w:type="dxa"/>
          </w:tcPr>
          <w:p>
            <w:r>
              <w:t xml:space="preserve">170</w:t>
            </w:r>
          </w:p>
        </w:tc>
        <w:tc>
          <w:tcPr>
            <w:tcW w:w="2400" w:type="dxa"/>
          </w:tcPr>
          <w:p>
            <w:r>
              <w:t xml:space="preserve">benign evidence present but not enough for benign class</w:t>
            </w:r>
          </w:p>
        </w:tc>
      </w:tr>
    </w:tbl>
    <w:p>
      <w:r>
        <w:t xml:space="preserve">This short table shows the largest bottleneck groups, not all mutually exclusive categories. The complete bottleneck analysis contains 8154 VUS; the six groups shown above account for 8111 VUS, leaving 43 VUS in smaller categories.</w:t>
      </w:r>
    </w:p>
    <w:p>
      <w:r>
        <w:t xml:space="preserve">This shows that most VUS are not dramatic edge cases. Many are low-information variants where automated Module 1 evidence is incomplete. PM2_Supporting is an independent supporting pathogenic criterion, but it is weak and insufficient by itself to move a variant out of VUS.</w:t>
      </w:r>
    </w:p>
    <w:p>
      <w:pPr>
        <w:pStyle w:val="Heading3"/>
      </w:pPr>
      <w:r>
        <w:t xml:space="preserve">Pathogenic Neighborhood And Proximity</w:t>
      </w:r>
    </w:p>
    <w:p>
      <w:r>
        <w:t xml:space="preserve">The local coding sequence neighborhood around each VUS was compared with the generated benign and pathogenic groups:</w:t>
      </w:r>
    </w:p>
    <w:p>
      <w:pPr>
        <w:pStyle w:val="ListBullet"/>
        <w:ind w:left="720" w:hanging="360"/>
      </w:pPr>
      <w:r>
        <w:t xml:space="preserve">benign group: classes 1 and 2</w:t>
      </w:r>
    </w:p>
    <w:p>
      <w:pPr>
        <w:pStyle w:val="ListBullet"/>
        <w:ind w:left="720" w:hanging="360"/>
      </w:pPr>
      <w:r>
        <w:t xml:space="preserve">pathogenic group: classes 4 and 5</w:t>
      </w:r>
    </w:p>
    <w:p>
      <w:pPr>
        <w:pStyle w:val="ListBullet"/>
        <w:ind w:left="720" w:hanging="360"/>
      </w:pPr>
      <w:r>
        <w:t xml:space="preserve">VUS group: class 3</w:t>
      </w:r>
    </w:p>
    <w:p>
      <w:r>
        <w:t xml:space="preserve">For each VUS, the analysis computed:</w:t>
      </w:r>
    </w:p>
    <w:p>
      <w:pPr>
        <w:pStyle w:val="ListBullet"/>
        <w:ind w:left="720" w:hanging="360"/>
      </w:pPr>
      <w:r>
        <w:t xml:space="preserve">nearest generated pathogenic variant</w:t>
      </w:r>
    </w:p>
    <w:p>
      <w:pPr>
        <w:pStyle w:val="ListBullet"/>
        <w:ind w:left="720" w:hanging="360"/>
      </w:pPr>
      <w:r>
        <w:t xml:space="preserve">nearest generated benign variant</w:t>
      </w:r>
    </w:p>
    <w:p>
      <w:pPr>
        <w:pStyle w:val="ListBullet"/>
        <w:ind w:left="720" w:hanging="360"/>
      </w:pPr>
      <w:r>
        <w:t xml:space="preserve">counts of pathogenic and benign variants within +/-20, +/-50, and +/-100 bp</w:t>
      </w:r>
    </w:p>
    <w:p>
      <w:pPr>
        <w:pStyle w:val="ListBullet"/>
        <w:ind w:left="720" w:hanging="360"/>
      </w:pPr>
      <w:r>
        <w:t xml:space="preserve">whether the VUS lies in a pathogenic hotspot bin</w:t>
      </w:r>
    </w:p>
    <w:p>
      <w:r>
        <w:t xml:space="preserve">In this analysis, a broad pathogenic context means that at least one of the following is true: the VUS lies in a pathogenic hotspot bin; at least 5 class 4/5 variants occur within +/-20 coding bp; at least 10 class 4/5 variants occur within +/-50 coding bp; or at least 20 class 4/5 variants occur within +/-100 coding bp. A strong pathogenic region is stricter: pathogenic hotspot bin, or at least 10 class 4/5 variants within +/-20 coding bp with more pathogenic than benign neighbors, or at least 20 class 4/5 variants within +/-50 coding bp with at least 1.5x as many pathogenic as benign neighbors.</w:t>
      </w:r>
    </w:p>
    <w:p>
      <w:r>
        <w:t xml:space="preserve">Results:</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Category</w:t>
            </w:r>
          </w:p>
        </w:tc>
        <w:tc>
          <w:tcPr>
            <w:tcW w:w="2400" w:type="dxa"/>
            <w:shd w:fill="EDEDED"/>
          </w:tcPr>
          <w:p>
            <w:r>
              <w:t xml:space="preserve">Count</w:t>
            </w:r>
          </w:p>
        </w:tc>
      </w:tr>
      <w:tr>
        <w:tc>
          <w:tcPr>
            <w:tcW w:w="2400" w:type="dxa"/>
          </w:tcPr>
          <w:p>
            <w:r>
              <w:t xml:space="preserve">closer_to_benign</w:t>
            </w:r>
          </w:p>
        </w:tc>
        <w:tc>
          <w:tcPr>
            <w:tcW w:w="2400" w:type="dxa"/>
          </w:tcPr>
          <w:p>
            <w:r>
              <w:t xml:space="preserve">3853</w:t>
            </w:r>
          </w:p>
        </w:tc>
      </w:tr>
      <w:tr>
        <w:tc>
          <w:tcPr>
            <w:tcW w:w="2400" w:type="dxa"/>
          </w:tcPr>
          <w:p>
            <w:r>
              <w:t xml:space="preserve">closer_to_pathogenic</w:t>
            </w:r>
          </w:p>
        </w:tc>
        <w:tc>
          <w:tcPr>
            <w:tcW w:w="2400" w:type="dxa"/>
          </w:tcPr>
          <w:p>
            <w:r>
              <w:t xml:space="preserve">3480</w:t>
            </w:r>
          </w:p>
        </w:tc>
      </w:tr>
      <w:tr>
        <w:tc>
          <w:tcPr>
            <w:tcW w:w="2400" w:type="dxa"/>
          </w:tcPr>
          <w:p>
            <w:r>
              <w:t xml:space="preserve">equal_distance</w:t>
            </w:r>
          </w:p>
        </w:tc>
        <w:tc>
          <w:tcPr>
            <w:tcW w:w="2400" w:type="dxa"/>
          </w:tcPr>
          <w:p>
            <w:r>
              <w:t xml:space="preserve">821</w:t>
            </w:r>
          </w:p>
        </w:tc>
      </w:tr>
      <w:tr>
        <w:tc>
          <w:tcPr>
            <w:tcW w:w="2400" w:type="dxa"/>
          </w:tcPr>
          <w:p>
            <w:r>
              <w:t xml:space="preserve">strong_pathogenic_region</w:t>
            </w:r>
          </w:p>
        </w:tc>
        <w:tc>
          <w:tcPr>
            <w:tcW w:w="2400" w:type="dxa"/>
          </w:tcPr>
          <w:p>
            <w:r>
              <w:t xml:space="preserve">2301</w:t>
            </w:r>
          </w:p>
        </w:tc>
      </w:tr>
      <w:tr>
        <w:tc>
          <w:tcPr>
            <w:tcW w:w="2400" w:type="dxa"/>
          </w:tcPr>
          <w:p>
            <w:r>
              <w:t xml:space="preserve">strong_pathogenic_region_and_closer_to_pathogenic</w:t>
            </w:r>
          </w:p>
        </w:tc>
        <w:tc>
          <w:tcPr>
            <w:tcW w:w="2400" w:type="dxa"/>
          </w:tcPr>
          <w:p>
            <w:r>
              <w:t xml:space="preserve">1451</w:t>
            </w:r>
          </w:p>
        </w:tc>
      </w:tr>
    </w:tbl>
    <w:p>
      <w:r>
        <w:t xml:space="preserve">The 1451 VUS in strong pathogenic regions and closer to pathogenic than benign variants form an important manual-review candidate group. This still does not imply pathogenicity; it identifies VUS located in locally pathogenic-looking generated landscapes.</w:t>
      </w:r>
    </w:p>
    <w:p>
      <w:r>
        <w:t xml:space="preserve">One visible cluster in the +/-20 bp neighborhood plot maps to BRCA1 c.5044-c.5143, approximately p.Glu1682-p.Ser1715, within the BRCT1 subdomain of the BRCA1 C-terminal BRCT region. This cluster is benign-enriched in the generated local-neighborhood plot, but it is not a benign region. The full generated SNV set in this short interval contains class 1/2, VUS, and class 4/5 variants. The pattern appears to be driven by a mixture of functional BRCT evidence (BS3/PS3), some local PP3/SpliceAI signal near a donor-like boundary around c.5074, and nearby nonsense substitutions with truncation-related criteria. This makes it a useful example of why local neighborhood context must be interpreted together with the exact variant consequence.</w:t>
      </w:r>
    </w:p>
    <w:p>
      <w:pPr>
        <w:pStyle w:val="Heading3"/>
      </w:pPr>
      <w:r>
        <w:t xml:space="preserve">What Positional Context Means</w:t>
      </w:r>
    </w:p>
    <w:p>
      <w:r>
        <w:t xml:space="preserve">The local-neighborhood analyses ask what positional context means in this precomputed automated-rule map. They do not ask whether position alone can classify a variant.</w:t>
      </w:r>
    </w:p>
    <w:p>
      <w:r>
        <w:t xml:space="preserve">A gene position is not the same as a variant. A single coding position can have several possible nucleotide substitutions. One substitution may be synonymous, another may be missense, another may create a premature termination codon, and another may alter a splice motif. Therefore, variants at the same position, or even in the same codon, can have different generated classes.</w:t>
      </w:r>
    </w:p>
    <w:p>
      <w:r>
        <w:t xml:space="preserve">This was confirmed by the position/codon conflict analysis. Many coding positions and codons contain different possible SNVs with different generated grouped classes. This is expected in part, because truncating, missense, synonymous, splice-affecting, and functionally annotated substitutions can activate different Module 1 criteria.</w:t>
      </w:r>
    </w:p>
    <w:p>
      <w:r>
        <w:t xml:space="preserve">The same principle applies to local neighborhoods. A region can be enriched for generated class 4/5 variants because it contains many truncating possibilities, splice-sensitive bases, known functional evidence, or curated residue/context signals. A nearby VUS does not inherit that evidence just because it is close. For the VUS itself, the exact nucleotide change, protein consequence, SpliceAI score, functional evidence, population-frequency evidence, and accepted ACMG/ENIGMA criteria still have to be evaluated.</w:t>
      </w:r>
    </w:p>
    <w:p>
      <w:r>
        <w:t xml:space="preserve">Therefore, local pathogenic enrichment should be used as:</w:t>
      </w:r>
    </w:p>
    <w:p>
      <w:pPr>
        <w:pStyle w:val="ListBullet"/>
        <w:ind w:left="720" w:hanging="360"/>
      </w:pPr>
      <w:r>
        <w:t xml:space="preserve">a review-priority signal</w:t>
      </w:r>
    </w:p>
    <w:p>
      <w:pPr>
        <w:pStyle w:val="ListBullet"/>
        <w:ind w:left="720" w:hanging="360"/>
      </w:pPr>
      <w:r>
        <w:t xml:space="preserve">a prompt to inspect mechanism and nearby counterexamples</w:t>
      </w:r>
    </w:p>
    <w:p>
      <w:pPr>
        <w:pStyle w:val="ListBullet"/>
        <w:ind w:left="720" w:hanging="360"/>
      </w:pPr>
      <w:r>
        <w:t xml:space="preserve">a way to find mixed regions where the automated rules behave differently</w:t>
      </w:r>
    </w:p>
    <w:p>
      <w:r>
        <w:t xml:space="preserve">across adjacent variants</w:t>
      </w:r>
    </w:p>
    <w:p>
      <w:r>
        <w:t xml:space="preserve">It should not be used as:</w:t>
      </w:r>
    </w:p>
    <w:p>
      <w:pPr>
        <w:pStyle w:val="ListBullet"/>
        <w:ind w:left="720" w:hanging="360"/>
      </w:pPr>
      <w:r>
        <w:t xml:space="preserve">a standalone pathogenicity prediction</w:t>
      </w:r>
    </w:p>
    <w:p>
      <w:pPr>
        <w:pStyle w:val="ListBullet"/>
        <w:ind w:left="720" w:hanging="360"/>
      </w:pPr>
      <w:r>
        <w:t xml:space="preserve">a replacement for PS1, PS3, PP3, PVS1, PM5_PTC, or any other</w:t>
      </w:r>
    </w:p>
    <w:p>
      <w:r>
        <w:t xml:space="preserve">criterion</w:t>
      </w:r>
    </w:p>
    <w:p>
      <w:pPr>
        <w:pStyle w:val="ListBullet"/>
        <w:ind w:left="720" w:hanging="360"/>
      </w:pPr>
      <w:r>
        <w:t xml:space="preserve">an ACMG/ENIGMA evidence item</w:t>
      </w:r>
    </w:p>
    <w:p>
      <w:pPr>
        <w:pStyle w:val="ListBullet"/>
        <w:ind w:left="720" w:hanging="360"/>
      </w:pPr>
      <w:r>
        <w:t xml:space="preserve">a reason to upgrade a VUS automatically</w:t>
      </w:r>
    </w:p>
    <w:p>
      <w:r>
        <w:t xml:space="preserve">In short: local pathogenic enrichment is a context signal, not an ACMG/ENIGMA evidence criterion.</w:t>
      </w:r>
    </w:p>
    <w:p>
      <w:pPr>
        <w:pStyle w:val="Heading3"/>
      </w:pPr>
      <w:r>
        <w:t xml:space="preserve">Regional Driver Decomposition</w:t>
      </w:r>
    </w:p>
    <w:p>
      <w:r>
        <w:t xml:space="preserve">To understand why some regions look pathogenic-enriched in the precomputed Module 1 map, we decomposed each 100 bp CDS bin into candidate drivers:</w:t>
      </w:r>
    </w:p>
    <w:p>
      <w:pPr>
        <w:pStyle w:val="ListBullet"/>
        <w:ind w:left="720" w:hanging="360"/>
      </w:pPr>
      <w:r>
        <w:t xml:space="preserve">truncation-related signal: nonsense variants, PVS1, or PM5_PTC</w:t>
      </w:r>
    </w:p>
    <w:p>
      <w:pPr>
        <w:pStyle w:val="ListBullet"/>
        <w:ind w:left="720" w:hanging="360"/>
      </w:pPr>
      <w:r>
        <w:t xml:space="preserve">splice-related signal: PP3 or SpliceAI &gt;= 0.20</w:t>
      </w:r>
    </w:p>
    <w:p>
      <w:pPr>
        <w:pStyle w:val="ListBullet"/>
        <w:ind w:left="720" w:hanging="360"/>
      </w:pPr>
      <w:r>
        <w:t xml:space="preserve">pathogenic functional signal: PS3, PS1, or PP4</w:t>
      </w:r>
    </w:p>
    <w:p>
      <w:pPr>
        <w:pStyle w:val="ListBullet"/>
        <w:ind w:left="720" w:hanging="360"/>
      </w:pPr>
      <w:r>
        <w:t xml:space="preserve">benign functional signal: BS3</w:t>
      </w:r>
    </w:p>
    <w:p>
      <w:pPr>
        <w:pStyle w:val="ListBullet"/>
        <w:ind w:left="720" w:hanging="360"/>
      </w:pPr>
      <w:r>
        <w:t xml:space="preserve">benign rule signal: BP1, BP4, BP5, BP7, BA1, or BS1</w:t>
      </w:r>
    </w:p>
    <w:p>
      <w:pPr>
        <w:pStyle w:val="ListBullet"/>
        <w:ind w:left="720" w:hanging="360"/>
      </w:pPr>
      <w:r>
        <w:t xml:space="preserve">low-information signal: no criterion or PM2_Supporting only</w:t>
      </w:r>
    </w:p>
    <w:p>
      <w:r>
        <w:t xml:space="preserve">The analysis then recalculated regional pathogenic fraction after excluding major driver classes. In the current 100 bp bin analysis, regional pathogenic fraction dropped strongly after excluding truncation drivers. After excluding truncation, splice, and functional-evidence drivers together, the residual pathogenic fraction was zero across the analyzed bins.</w:t>
      </w:r>
    </w:p>
    <w:p>
      <w:r>
        <w:t xml:space="preserve">This result should be interpreted as a structural sanity check of the rule system, not as an independent empirical discovery. In the current automated Module 1 map, class 4/5 outcomes are generated mainly by exactly these pathogenic driver classes. Once they are removed, PM2_Supporting remains too weak to generate a class 4/5 result by itself. The useful conclusion is therefore not that biology has no residual regional signal, but that this precomputed map should not be read as evidence for an independent positional criterion.</w:t>
      </w:r>
    </w:p>
    <w:p>
      <w:pPr>
        <w:pStyle w:val="Heading3"/>
      </w:pPr>
      <w:r>
        <w:t xml:space="preserve">Positional Context Follow-up</w:t>
      </w:r>
    </w:p>
    <w:p>
      <w:r>
        <w:t xml:space="preserve">We then tested the same interpretation from four additional angles:</w:t>
      </w:r>
    </w:p>
    <w:p>
      <w:pPr>
        <w:pStyle w:val="ListBullet"/>
        <w:ind w:left="720" w:hanging="360"/>
      </w:pPr>
      <w:r>
        <w:t xml:space="preserve">variant type</w:t>
      </w:r>
    </w:p>
    <w:p>
      <w:pPr>
        <w:pStyle w:val="ListBullet"/>
        <w:ind w:left="720" w:hanging="360"/>
      </w:pPr>
      <w:r>
        <w:t xml:space="preserve">splice-driver regional signal</w:t>
      </w:r>
    </w:p>
    <w:p>
      <w:pPr>
        <w:pStyle w:val="ListBullet"/>
        <w:ind w:left="720" w:hanging="360"/>
      </w:pPr>
      <w:r>
        <w:t xml:space="preserve">functional-evidence regional signal</w:t>
      </w:r>
    </w:p>
    <w:p>
      <w:pPr>
        <w:pStyle w:val="ListBullet"/>
        <w:ind w:left="720" w:hanging="360"/>
      </w:pPr>
      <w:r>
        <w:t xml:space="preserve">mixed position and codon behavior after removing major driver classes</w:t>
      </w:r>
    </w:p>
    <w:p>
      <w:r>
        <w:t xml:space="preserve">Variant type had a strong effect on the generated map. Nonsense/PTC variants were overwhelmingly classified as pathogenic in the automated snapshot, while missense and synonymous variants were mostly benign or VUS. This is expected, because the exact substitution determines whether a variant activates truncation-related, splice-related, functional, benign, or low-information criteria.</w:t>
      </w:r>
    </w:p>
    <w:p>
      <w:r>
        <w:t xml:space="preserve">The splice-driver analysis identified regional bins where local pathogenic fraction tracked PP3, high SpliceAI, or proximity to CDS exon boundaries. The functional-evidence analysis highlighted BRCA1 RING and BRCT regions, where PS3 and BS3 evidence both occur. These regions are biologically and curationally interesting, but the signal still comes from variant-level evidence rather than from coordinate alone.</w:t>
      </w:r>
    </w:p>
    <w:p>
      <w:r>
        <w:t xml:space="preserve">Finally, we repeated the mixed position/codon analysis after excluding major driver classes. In the full generated map, 1654 coding positions and 1737 codons contained both benign and pathogenic grouped classes. After excluding truncation, splice, and functional-evidence drivers together, this number fell to zero for both positions and codons. This is expected from the construction of the current rule set, because the excluded drivers are also the main ways a coding SNV becomes class 4/5 in this map. The analysis is still useful as a guardrail: it shows why position-level summaries must be decomposed back to the variant-level criteria that generated them.</w:t>
      </w:r>
    </w:p>
    <w:p>
      <w:pPr>
        <w:pStyle w:val="Heading3"/>
      </w:pPr>
      <w:r>
        <w:t xml:space="preserve">Protein Domain And Structure Context</w:t>
      </w:r>
    </w:p>
    <w:p>
      <w:r>
        <w:t xml:space="preserve">Variants were mapped to broad protein regions and UniProt-derived active/interface context. The main regions included:</w:t>
      </w:r>
    </w:p>
    <w:p>
      <w:pPr>
        <w:pStyle w:val="ListBullet"/>
        <w:ind w:left="720" w:hanging="360"/>
      </w:pPr>
      <w:r>
        <w:t xml:space="preserve">BRCA1 RING zinc-binding/E3 ligase region</w:t>
      </w:r>
    </w:p>
    <w:p>
      <w:pPr>
        <w:pStyle w:val="ListBullet"/>
        <w:ind w:left="720" w:hanging="360"/>
      </w:pPr>
      <w:r>
        <w:t xml:space="preserve">BRCA1 BRCT phosphopeptide-binding region</w:t>
      </w:r>
    </w:p>
    <w:p>
      <w:pPr>
        <w:pStyle w:val="ListBullet"/>
        <w:ind w:left="720" w:hanging="360"/>
      </w:pPr>
      <w:r>
        <w:t xml:space="preserve">BRCA2 DNA-binding domain / helical-OB-DSS1 region</w:t>
      </w:r>
    </w:p>
    <w:p>
      <w:pPr>
        <w:pStyle w:val="ListBullet"/>
        <w:ind w:left="720" w:hanging="360"/>
      </w:pPr>
      <w:r>
        <w:t xml:space="preserve">BRCA2 BRC repeats / RAD51-binding region</w:t>
      </w:r>
    </w:p>
    <w:p>
      <w:pPr>
        <w:pStyle w:val="ListBullet"/>
        <w:ind w:left="720" w:hanging="360"/>
      </w:pPr>
      <w:r>
        <w:t xml:space="preserve">BRCA2 C-terminal RAD51-binding/nuclear localization context</w:t>
      </w:r>
    </w:p>
    <w:p>
      <w:pPr>
        <w:pStyle w:val="ListBullet"/>
        <w:ind w:left="720" w:hanging="360"/>
      </w:pPr>
      <w:r>
        <w:t xml:space="preserve">PALB2 interaction regions</w:t>
      </w:r>
    </w:p>
    <w:p>
      <w:pPr>
        <w:pStyle w:val="ListBullet"/>
        <w:ind w:left="720" w:hanging="360"/>
      </w:pPr>
      <w:r>
        <w:t xml:space="preserve">SEM1/DSS1-related context</w:t>
      </w:r>
    </w:p>
    <w:p>
      <w:r>
        <w:t xml:space="preserve">This domain context was used only as interpretation and prioritization context. It was not treated as an ACMG/ENIGMA classification criterion.</w:t>
      </w:r>
    </w:p>
    <w:p>
      <w:pPr>
        <w:pStyle w:val="Heading3"/>
      </w:pPr>
      <w:r>
        <w:t xml:space="preserve">Benign Counterexamples</w:t>
      </w:r>
    </w:p>
    <w:p>
      <w:r>
        <w:t xml:space="preserve">To avoid over-interpreting protein domain location, benign and likely benign variants were mapped to the same domains and active/interface annotations.</w:t>
      </w:r>
    </w:p>
    <w:p>
      <w:r>
        <w:t xml:space="preserve">This identified benign counterexamples inside functionally important regions:</w:t>
      </w:r>
    </w:p>
    <w:p>
      <w:r>
        <w:t xml:space="preserve">The tiers mean:</w:t>
      </w:r>
    </w:p>
    <w:p>
      <w:pPr>
        <w:pStyle w:val="ListBullet"/>
        <w:ind w:left="720" w:hanging="360"/>
      </w:pPr>
      <w:r>
        <w:t xml:space="preserve">A_exact_or_known_residue_context: benign variant overlaps a source-extracted</w:t>
      </w:r>
    </w:p>
    <w:p>
      <w:r>
        <w:t xml:space="preserve">functional annotation or a known pathogenic-residue context.</w:t>
      </w:r>
    </w:p>
    <w:p>
      <w:pPr>
        <w:pStyle w:val="ListBullet"/>
        <w:ind w:left="720" w:hanging="360"/>
      </w:pPr>
      <w:r>
        <w:t xml:space="preserve">B_pathogenic_enriched_domain: benign variant lies in a domain with a much</w:t>
      </w:r>
    </w:p>
    <w:p>
      <w:r>
        <w:t xml:space="preserve">higher pathogenic than benign rate after group normalization.</w:t>
      </w:r>
    </w:p>
    <w:p>
      <w:pPr>
        <w:pStyle w:val="ListBullet"/>
        <w:ind w:left="720" w:hanging="360"/>
      </w:pPr>
      <w:r>
        <w:t xml:space="preserve">C_region_level_interface_context: benign variant lies in a UniProt</w:t>
      </w:r>
    </w:p>
    <w:p>
      <w:r>
        <w:t xml:space="preserve">region-level interaction annotation.</w:t>
      </w:r>
    </w:p>
    <w:p>
      <w:pPr>
        <w:pStyle w:val="ListBullet"/>
        <w:ind w:left="720" w:hanging="360"/>
      </w:pPr>
      <w:r>
        <w:t xml:space="preserve">D_broad_domain_context: benign variant lies in a broad important domain.</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Counterexample Tier</w:t>
            </w:r>
          </w:p>
        </w:tc>
        <w:tc>
          <w:tcPr>
            <w:tcW w:w="2400" w:type="dxa"/>
            <w:shd w:fill="EDEDED"/>
          </w:tcPr>
          <w:p>
            <w:r>
              <w:t xml:space="preserve">Count</w:t>
            </w:r>
          </w:p>
        </w:tc>
      </w:tr>
      <w:tr>
        <w:tc>
          <w:tcPr>
            <w:tcW w:w="2400" w:type="dxa"/>
          </w:tcPr>
          <w:p>
            <w:r>
              <w:t xml:space="preserve">C_region_level_interface_context</w:t>
            </w:r>
          </w:p>
        </w:tc>
        <w:tc>
          <w:tcPr>
            <w:tcW w:w="2400" w:type="dxa"/>
          </w:tcPr>
          <w:p>
            <w:r>
              <w:t xml:space="preserve">15199</w:t>
            </w:r>
          </w:p>
        </w:tc>
      </w:tr>
      <w:tr>
        <w:tc>
          <w:tcPr>
            <w:tcW w:w="2400" w:type="dxa"/>
          </w:tcPr>
          <w:p>
            <w:r>
              <w:t xml:space="preserve">D_broad_domain_context</w:t>
            </w:r>
          </w:p>
        </w:tc>
        <w:tc>
          <w:tcPr>
            <w:tcW w:w="2400" w:type="dxa"/>
          </w:tcPr>
          <w:p>
            <w:r>
              <w:t xml:space="preserve">2267</w:t>
            </w:r>
          </w:p>
        </w:tc>
      </w:tr>
      <w:tr>
        <w:tc>
          <w:tcPr>
            <w:tcW w:w="2400" w:type="dxa"/>
          </w:tcPr>
          <w:p>
            <w:r>
              <w:t xml:space="preserve">B_pathogenic_enriched_domain</w:t>
            </w:r>
          </w:p>
        </w:tc>
        <w:tc>
          <w:tcPr>
            <w:tcW w:w="2400" w:type="dxa"/>
          </w:tcPr>
          <w:p>
            <w:r>
              <w:t xml:space="preserve">283</w:t>
            </w:r>
          </w:p>
        </w:tc>
      </w:tr>
      <w:tr>
        <w:tc>
          <w:tcPr>
            <w:tcW w:w="2400" w:type="dxa"/>
          </w:tcPr>
          <w:p>
            <w:r>
              <w:t xml:space="preserve">A_exact_or_known_residue_context</w:t>
            </w:r>
          </w:p>
        </w:tc>
        <w:tc>
          <w:tcPr>
            <w:tcW w:w="2400" w:type="dxa"/>
          </w:tcPr>
          <w:p>
            <w:r>
              <w:t xml:space="preserve">206</w:t>
            </w:r>
          </w:p>
        </w:tc>
      </w:tr>
    </w:tbl>
    <w:p>
      <w:r>
        <w:t xml:space="preserve">This demonstrates that domain or interface context cannot be used as evidence by itself. It is useful only when combined with variant mechanism, local neighborhood, criteria, and residue-level evidence.</w:t>
      </w:r>
    </w:p>
    <w:p>
      <w:pPr>
        <w:pStyle w:val="Heading3"/>
      </w:pPr>
      <w:r>
        <w:t xml:space="preserve">BS3 And Functional Benign Evidence In Domains</w:t>
      </w:r>
    </w:p>
    <w:p>
      <w:r>
        <w:t xml:space="preserve">Because many benign variants inside important domains were driven by BS3, we analyzed BS3 separately.</w:t>
      </w:r>
    </w:p>
    <w:p>
      <w:r>
        <w:t xml:space="preserve">Results:</w:t>
      </w:r>
    </w:p>
    <w:p>
      <w:pPr>
        <w:pStyle w:val="ListBullet"/>
        <w:ind w:left="720" w:hanging="360"/>
      </w:pPr>
      <w:r>
        <w:t xml:space="preserve">benign domain/interface variants analyzed: 17955</w:t>
      </w:r>
    </w:p>
    <w:p>
      <w:pPr>
        <w:pStyle w:val="ListBullet"/>
        <w:ind w:left="720" w:hanging="360"/>
      </w:pPr>
      <w:r>
        <w:t xml:space="preserve">with BS3: 2017</w:t>
      </w:r>
    </w:p>
    <w:p>
      <w:pPr>
        <w:pStyle w:val="ListBullet"/>
        <w:ind w:left="720" w:hanging="360"/>
      </w:pPr>
      <w:r>
        <w:t xml:space="preserve">with BS3 plus PP3 or SpliceAI &gt;= 0.20: 126</w:t>
      </w:r>
    </w:p>
    <w:p>
      <w:r>
        <w:t xml:space="preserve">BS3 by region:</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tblGrid>
      <w:tr>
        <w:tc>
          <w:tcPr>
            <w:tcW w:w="2400" w:type="dxa"/>
            <w:shd w:fill="EDEDED"/>
          </w:tcPr>
          <w:p>
            <w:r>
              <w:t xml:space="preserve">Region</w:t>
            </w:r>
          </w:p>
        </w:tc>
        <w:tc>
          <w:tcPr>
            <w:tcW w:w="2400" w:type="dxa"/>
            <w:shd w:fill="EDEDED"/>
          </w:tcPr>
          <w:p>
            <w:r>
              <w:t xml:space="preserve">Benign domain count</w:t>
            </w:r>
          </w:p>
        </w:tc>
        <w:tc>
          <w:tcPr>
            <w:tcW w:w="2400" w:type="dxa"/>
            <w:shd w:fill="EDEDED"/>
          </w:tcPr>
          <w:p>
            <w:r>
              <w:t xml:space="preserve">BS3 count</w:t>
            </w:r>
          </w:p>
        </w:tc>
        <w:tc>
          <w:tcPr>
            <w:tcW w:w="2400" w:type="dxa"/>
            <w:shd w:fill="EDEDED"/>
          </w:tcPr>
          <w:p>
            <w:r>
              <w:t xml:space="preserve">BS3 percent</w:t>
            </w:r>
          </w:p>
        </w:tc>
      </w:tr>
      <w:tr>
        <w:tc>
          <w:tcPr>
            <w:tcW w:w="2400" w:type="dxa"/>
          </w:tcPr>
          <w:p>
            <w:r>
              <w:t xml:space="preserve">BRCT phosphopeptide-binding region</w:t>
            </w:r>
          </w:p>
        </w:tc>
        <w:tc>
          <w:tcPr>
            <w:tcW w:w="2400" w:type="dxa"/>
          </w:tcPr>
          <w:p>
            <w:r>
              <w:t xml:space="preserve">1178</w:t>
            </w:r>
          </w:p>
        </w:tc>
        <w:tc>
          <w:tcPr>
            <w:tcW w:w="2400" w:type="dxa"/>
          </w:tcPr>
          <w:p>
            <w:r>
              <w:t xml:space="preserve">1174</w:t>
            </w:r>
          </w:p>
        </w:tc>
        <w:tc>
          <w:tcPr>
            <w:tcW w:w="2400" w:type="dxa"/>
          </w:tcPr>
          <w:p>
            <w:r>
              <w:t xml:space="preserve">99.66</w:t>
            </w:r>
          </w:p>
        </w:tc>
      </w:tr>
      <w:tr>
        <w:tc>
          <w:tcPr>
            <w:tcW w:w="2400" w:type="dxa"/>
          </w:tcPr>
          <w:p>
            <w:r>
              <w:t xml:space="preserve">RING zinc-binding/E3 ligase region</w:t>
            </w:r>
          </w:p>
        </w:tc>
        <w:tc>
          <w:tcPr>
            <w:tcW w:w="2400" w:type="dxa"/>
          </w:tcPr>
          <w:p>
            <w:r>
              <w:t xml:space="preserve">576</w:t>
            </w:r>
          </w:p>
        </w:tc>
        <w:tc>
          <w:tcPr>
            <w:tcW w:w="2400" w:type="dxa"/>
          </w:tcPr>
          <w:p>
            <w:r>
              <w:t xml:space="preserve">571</w:t>
            </w:r>
          </w:p>
        </w:tc>
        <w:tc>
          <w:tcPr>
            <w:tcW w:w="2400" w:type="dxa"/>
          </w:tcPr>
          <w:p>
            <w:r>
              <w:t xml:space="preserve">99.13</w:t>
            </w:r>
          </w:p>
        </w:tc>
      </w:tr>
      <w:tr>
        <w:tc>
          <w:tcPr>
            <w:tcW w:w="2400" w:type="dxa"/>
          </w:tcPr>
          <w:p>
            <w:r>
              <w:t xml:space="preserve">BRCA2 DBD / helical-OB-DSS1 region</w:t>
            </w:r>
          </w:p>
        </w:tc>
        <w:tc>
          <w:tcPr>
            <w:tcW w:w="2400" w:type="dxa"/>
          </w:tcPr>
          <w:p>
            <w:r>
              <w:t xml:space="preserve">256</w:t>
            </w:r>
          </w:p>
        </w:tc>
        <w:tc>
          <w:tcPr>
            <w:tcW w:w="2400" w:type="dxa"/>
          </w:tcPr>
          <w:p>
            <w:r>
              <w:t xml:space="preserve">127</w:t>
            </w:r>
          </w:p>
        </w:tc>
        <w:tc>
          <w:tcPr>
            <w:tcW w:w="2400" w:type="dxa"/>
          </w:tcPr>
          <w:p>
            <w:r>
              <w:t xml:space="preserve">49.61</w:t>
            </w:r>
          </w:p>
        </w:tc>
      </w:tr>
      <w:tr>
        <w:tc>
          <w:tcPr>
            <w:tcW w:w="2400" w:type="dxa"/>
          </w:tcPr>
          <w:p>
            <w:r>
              <w:t xml:space="preserve">BRC repeats / RAD51-binding region</w:t>
            </w:r>
          </w:p>
        </w:tc>
        <w:tc>
          <w:tcPr>
            <w:tcW w:w="2400" w:type="dxa"/>
          </w:tcPr>
          <w:p>
            <w:r>
              <w:t xml:space="preserve">9242</w:t>
            </w:r>
          </w:p>
        </w:tc>
        <w:tc>
          <w:tcPr>
            <w:tcW w:w="2400" w:type="dxa"/>
          </w:tcPr>
          <w:p>
            <w:r>
              <w:t xml:space="preserve">32</w:t>
            </w:r>
          </w:p>
        </w:tc>
        <w:tc>
          <w:tcPr>
            <w:tcW w:w="2400" w:type="dxa"/>
          </w:tcPr>
          <w:p>
            <w:r>
              <w:t xml:space="preserve">0.35</w:t>
            </w:r>
          </w:p>
        </w:tc>
      </w:tr>
    </w:tbl>
    <w:p>
      <w:r>
        <w:t xml:space="preserve">This regional table is not exhaustive. The four displayed regions account for 1904 of the 2017 benign/domain-interface variants with BS3; the remaining 113 BS3 variants occur in other annotated contexts. The very high BS3 proportion in BRCA1 BRCT and RING also means that domain context in these regions is partly a proxy for availability of dense functional assay evidence, not an independent domain effect.</w:t>
      </w:r>
    </w:p>
    <w:p>
      <w:r>
        <w:t xml:space="preserve">To check whether this was merely broad domain-level mapping, we audited BRCA1 BS3 records from local ENIGMA Table 9 against downloaded external source files. The sources were Findlay et al. 2018 Nature Supplementary Table 1 containing BRCA1 saturation genome editing scores, the corresponding Supplementary Information, and a Dace &amp; Findlay 2023 interim report cited by ENIGMA Table 9. The audit found that 1861/1865 BRCA1 BRCT-region BS3 records and 868/871 BRCA1 N-terminal RING-region BS3 records matched variant-level rows in the Findlay 2018 SGE table. This supports interpreting the BRCA1 RING/BRCT BS3 signal as variant-level functional assay evidence from a dense source dataset, not as a simple domain rule.</w:t>
      </w:r>
    </w:p>
    <w:p>
      <w:r>
        <w:t xml:space="preserve">The audit also found 24 N-terminal RING-region BS3 records that have LOF functional class in the original Findlay 2018 table. In local ENIGMA Table 9, these records cite an interim Dace &amp; Findlay 2023 update describing updated benign-like interpretation. Therefore, these are not automatically application errors, but they should remain visible as source-version-dependent evidence items requiring manual traceability.</w:t>
      </w:r>
    </w:p>
    <w:p>
      <w:r>
        <w:t xml:space="preserve">BS3 variants by mechanism:</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Mechanism</w:t>
            </w:r>
          </w:p>
        </w:tc>
        <w:tc>
          <w:tcPr>
            <w:tcW w:w="2400" w:type="dxa"/>
            <w:shd w:fill="EDEDED"/>
          </w:tcPr>
          <w:p>
            <w:r>
              <w:t xml:space="preserve">Count</w:t>
            </w:r>
          </w:p>
        </w:tc>
      </w:tr>
      <w:tr>
        <w:tc>
          <w:tcPr>
            <w:tcW w:w="2400" w:type="dxa"/>
          </w:tcPr>
          <w:p>
            <w:r>
              <w:t xml:space="preserve">missense</w:t>
            </w:r>
          </w:p>
        </w:tc>
        <w:tc>
          <w:tcPr>
            <w:tcW w:w="2400" w:type="dxa"/>
          </w:tcPr>
          <w:p>
            <w:r>
              <w:t xml:space="preserve">1530</w:t>
            </w:r>
          </w:p>
        </w:tc>
      </w:tr>
      <w:tr>
        <w:tc>
          <w:tcPr>
            <w:tcW w:w="2400" w:type="dxa"/>
          </w:tcPr>
          <w:p>
            <w:r>
              <w:t xml:space="preserve">synonymous</w:t>
            </w:r>
          </w:p>
        </w:tc>
        <w:tc>
          <w:tcPr>
            <w:tcW w:w="2400" w:type="dxa"/>
          </w:tcPr>
          <w:p>
            <w:r>
              <w:t xml:space="preserve">487</w:t>
            </w:r>
          </w:p>
        </w:tc>
      </w:tr>
    </w:tbl>
    <w:p>
      <w:r>
        <w:t xml:space="preserve">This analysis highlighted a small but important review group: variants with BS3+PP3 and high SpliceAI. These are not automatically errors. They are cases where assay metadata matters: the curator needs to know whether the functional assay measured the relevant protein effect, splicing, NMD, or another mechanism.</w:t>
      </w:r>
    </w:p>
    <w:p>
      <w:pPr>
        <w:pStyle w:val="Heading2"/>
      </w:pPr>
      <w:r>
        <w:t xml:space="preserve">Candidate Review Groups</w:t>
      </w:r>
    </w:p>
    <w:p>
      <w:r>
        <w:t xml:space="preserve">The analyses suggest several candidate groups for manual review.</w:t>
      </w:r>
    </w:p>
    <w:p>
      <w:pPr>
        <w:pStyle w:val="Heading3"/>
      </w:pPr>
      <w:r>
        <w:t xml:space="preserve">Group 1: Strong Pathogenic Evidence One Step Short</w:t>
      </w:r>
    </w:p>
    <w:p>
      <w:r>
        <w:t xml:space="preserve">These VUS often contain PS3, PP3, or another pathogenic-direction signal but do not satisfy the exact ENIGMA combination needed for likely pathogenic.</w:t>
      </w:r>
    </w:p>
    <w:p>
      <w:r>
        <w:t xml:space="preserve">Typical next evidence to look for:</w:t>
      </w:r>
    </w:p>
    <w:p>
      <w:pPr>
        <w:pStyle w:val="ListBullet"/>
        <w:ind w:left="720" w:hanging="360"/>
      </w:pPr>
      <w:r>
        <w:t xml:space="preserve">RNA confirmation</w:t>
      </w:r>
    </w:p>
    <w:p>
      <w:pPr>
        <w:pStyle w:val="ListBullet"/>
        <w:ind w:left="720" w:hanging="360"/>
      </w:pPr>
      <w:r>
        <w:t xml:space="preserve">accepted functional evidence</w:t>
      </w:r>
    </w:p>
    <w:p>
      <w:pPr>
        <w:pStyle w:val="ListBullet"/>
        <w:ind w:left="720" w:hanging="360"/>
      </w:pPr>
      <w:r>
        <w:t xml:space="preserve">PS1</w:t>
      </w:r>
    </w:p>
    <w:p>
      <w:pPr>
        <w:pStyle w:val="ListBullet"/>
        <w:ind w:left="720" w:hanging="360"/>
      </w:pPr>
      <w:r>
        <w:t xml:space="preserve">PP1</w:t>
      </w:r>
    </w:p>
    <w:p>
      <w:pPr>
        <w:pStyle w:val="ListBullet"/>
        <w:ind w:left="720" w:hanging="360"/>
      </w:pPr>
      <w:r>
        <w:t xml:space="preserve">PM3</w:t>
      </w:r>
    </w:p>
    <w:p>
      <w:pPr>
        <w:pStyle w:val="ListBullet"/>
        <w:ind w:left="720" w:hanging="360"/>
      </w:pPr>
      <w:r>
        <w:t xml:space="preserve">PS4</w:t>
      </w:r>
    </w:p>
    <w:p>
      <w:pPr>
        <w:pStyle w:val="ListBullet"/>
        <w:ind w:left="720" w:hanging="360"/>
      </w:pPr>
      <w:r>
        <w:t xml:space="preserve">PP4</w:t>
      </w:r>
    </w:p>
    <w:p>
      <w:pPr>
        <w:pStyle w:val="ListBullet"/>
        <w:ind w:left="720" w:hanging="360"/>
      </w:pPr>
      <w:r>
        <w:t xml:space="preserve">curated external evidence</w:t>
      </w:r>
    </w:p>
    <w:p>
      <w:pPr>
        <w:pStyle w:val="Heading3"/>
      </w:pPr>
      <w:r>
        <w:t xml:space="preserve">Group 2: VUS In Strong Pathogenic Regions</w:t>
      </w:r>
    </w:p>
    <w:p>
      <w:r>
        <w:t xml:space="preserve">These VUS are in generated regions where class 4/5 variants outnumber benign variants locally, or where the nearest generated pathogenic variant is closer than the nearest generated benign variant.</w:t>
      </w:r>
    </w:p>
    <w:p>
      <w:r>
        <w:t xml:space="preserve">Useful review questions:</w:t>
      </w:r>
    </w:p>
    <w:p>
      <w:pPr>
        <w:pStyle w:val="ListBullet"/>
        <w:ind w:left="720" w:hanging="360"/>
      </w:pPr>
      <w:r>
        <w:t xml:space="preserve">Is the local signal driven by splice effects?</w:t>
      </w:r>
    </w:p>
    <w:p>
      <w:pPr>
        <w:pStyle w:val="ListBullet"/>
        <w:ind w:left="720" w:hanging="360"/>
      </w:pPr>
      <w:r>
        <w:t xml:space="preserve">Is the VUS near an exon boundary?</w:t>
      </w:r>
    </w:p>
    <w:p>
      <w:pPr>
        <w:pStyle w:val="ListBullet"/>
        <w:ind w:left="720" w:hanging="360"/>
      </w:pPr>
      <w:r>
        <w:t xml:space="preserve">Does the VUS have high SpliceAI?</w:t>
      </w:r>
    </w:p>
    <w:p>
      <w:pPr>
        <w:pStyle w:val="ListBullet"/>
        <w:ind w:left="720" w:hanging="360"/>
      </w:pPr>
      <w:r>
        <w:t xml:space="preserve">Does the same codon or residue have curated pathogenic substitutions?</w:t>
      </w:r>
    </w:p>
    <w:p>
      <w:pPr>
        <w:pStyle w:val="ListBullet"/>
        <w:ind w:left="720" w:hanging="360"/>
      </w:pPr>
      <w:r>
        <w:t xml:space="preserve">Are there benign counterexamples nearby?</w:t>
      </w:r>
    </w:p>
    <w:p>
      <w:pPr>
        <w:pStyle w:val="Heading3"/>
      </w:pPr>
      <w:r>
        <w:t xml:space="preserve">Group 3: Functional-Domain VUS With Supporting Evidence</w:t>
      </w:r>
    </w:p>
    <w:p>
      <w:r>
        <w:t xml:space="preserve">Domain or interface context can help prioritize VUS, especially when combined with other signals.</w:t>
      </w:r>
    </w:p>
    <w:p>
      <w:r>
        <w:t xml:space="preserve">However, domain context is not evidence by itself. Benign counterexamples in RING, BRCT, BRCA2 DBD, PALB2, RAD51/BRC, and SEM1/DSS1 contexts show why domain membership must be interpreted cautiously.</w:t>
      </w:r>
    </w:p>
    <w:p>
      <w:pPr>
        <w:pStyle w:val="Heading3"/>
      </w:pPr>
      <w:r>
        <w:t xml:space="preserve">Group 4: BS3 Conflict Cases</w:t>
      </w:r>
    </w:p>
    <w:p>
      <w:r>
        <w:t xml:space="preserve">Variants with BS3 plus PP3 or high SpliceAI should be reviewed as evidence-adjudication cases.</w:t>
      </w:r>
    </w:p>
    <w:p>
      <w:r>
        <w:t xml:space="preserve">Useful review questions:</w:t>
      </w:r>
    </w:p>
    <w:p>
      <w:pPr>
        <w:pStyle w:val="ListBullet"/>
        <w:ind w:left="720" w:hanging="360"/>
      </w:pPr>
      <w:r>
        <w:t xml:space="preserve">What did the BS3 assay measure?</w:t>
      </w:r>
    </w:p>
    <w:p>
      <w:pPr>
        <w:pStyle w:val="ListBullet"/>
        <w:ind w:left="720" w:hanging="360"/>
      </w:pPr>
      <w:r>
        <w:t xml:space="preserve">Does the assay detect splicing?</w:t>
      </w:r>
    </w:p>
    <w:p>
      <w:pPr>
        <w:pStyle w:val="ListBullet"/>
        <w:ind w:left="720" w:hanging="360"/>
      </w:pPr>
      <w:r>
        <w:t xml:space="preserve">Does the assay detect NMD?</w:t>
      </w:r>
    </w:p>
    <w:p>
      <w:pPr>
        <w:pStyle w:val="ListBullet"/>
        <w:ind w:left="720" w:hanging="360"/>
      </w:pPr>
      <w:r>
        <w:t xml:space="preserve">Is the PP3 signal transcript-relevant?</w:t>
      </w:r>
    </w:p>
    <w:p>
      <w:pPr>
        <w:pStyle w:val="ListBullet"/>
        <w:ind w:left="720" w:hanging="360"/>
      </w:pPr>
      <w:r>
        <w:t xml:space="preserve">Is the apparent conflict protein-based, RNA-based, or rule-based?</w:t>
      </w:r>
    </w:p>
    <w:p>
      <w:pPr>
        <w:pStyle w:val="Heading3"/>
      </w:pPr>
      <w:r>
        <w:t xml:space="preserve">Group 5: Low-Information PM2-Only VUS</w:t>
      </w:r>
    </w:p>
    <w:p>
      <w:r>
        <w:t xml:space="preserve">The largest group is PM2_only. These variants are not good first-pass review candidates unless additional evidence is available. Population absence as PM2_Supporting is an independent supporting pathogenic criterion, but it is not sufficient by itself.</w:t>
      </w:r>
    </w:p>
    <w:p>
      <w:pPr>
        <w:pStyle w:val="Heading2"/>
      </w:pPr>
      <w:r>
        <w:t xml:space="preserve">Proposed Figure Plan</w:t>
      </w:r>
    </w:p>
    <w:p>
      <w:pPr>
        <w:pStyle w:val="Heading3"/>
      </w:pPr>
      <w:r>
        <w:t xml:space="preserve">Figure 1: VUS Prioritization Overview</w:t>
      </w:r>
    </w:p>
    <w:p>
      <w:r>
        <w:t xml:space="preserve">Suggested source files:</w:t>
      </w:r>
    </w:p>
    <w:p>
      <w:pPr>
        <w:pStyle w:val="ListBullet"/>
        <w:ind w:left="720" w:hanging="360"/>
      </w:pPr>
      <w:r>
        <w:t xml:space="preserve">plots/08_vus_prioritization/vus_priority_score_histogram.svg</w:t>
      </w:r>
    </w:p>
    <w:p>
      <w:pPr>
        <w:pStyle w:val="ListBullet"/>
        <w:ind w:left="720" w:hanging="360"/>
      </w:pPr>
      <w:r>
        <w:t xml:space="preserve">plots/08_vus_prioritization/vus_priority_reason_counts.svg</w:t>
      </w:r>
    </w:p>
    <w:p>
      <w:pPr>
        <w:pStyle w:val="ListBullet"/>
        <w:ind w:left="720" w:hanging="360"/>
      </w:pPr>
      <w:r>
        <w:t xml:space="preserve">plots/08_vus_prioritization/vus_priority_exon_barplot.svg</w:t>
      </w:r>
    </w:p>
    <w:p>
      <w:pPr>
        <w:pStyle w:val="ListBullet"/>
        <w:ind w:left="720" w:hanging="360"/>
      </w:pPr>
      <w:r>
        <w:t xml:space="preserve">plots/27_vus_manuscript_critique_response/neighborhood_increment_summary.svg</w:t>
      </w:r>
    </w:p>
    <w:p>
      <w:pPr>
        <w:pStyle w:val="ListBullet"/>
        <w:ind w:left="720" w:hanging="360"/>
      </w:pPr>
      <w:r>
        <w:t xml:space="preserve">plots/27_vus_manuscript_critique_response/tier_transition_without_neighborhood.svg</w:t>
      </w:r>
    </w:p>
    <w:p>
      <w:r>
        <w:t xml:space="preserve">Message: VUS can be grouped into practical review tiers, with a small high-priority subset. The neighborhood sensitivity panels show how much of the high-priority queue depends on local context rather than variant-level criteria alone.</w:t>
      </w:r>
    </w:p>
    <w:p>
      <w:pPr>
        <w:pStyle w:val="Heading3"/>
      </w:pPr>
      <w:r>
        <w:t xml:space="preserve">Figure 2: VUS Pathogenic Neighborhoods</w:t>
      </w:r>
    </w:p>
    <w:p>
      <w:r>
        <w:t xml:space="preserve">Suggested source files:</w:t>
      </w:r>
    </w:p>
    <w:p>
      <w:pPr>
        <w:pStyle w:val="ListBullet"/>
        <w:ind w:left="720" w:hanging="360"/>
      </w:pPr>
      <w:r>
        <w:t xml:space="preserve">plots/18_vus_pathogenic_regions/vus_pathogenic_region_summary.svg</w:t>
      </w:r>
    </w:p>
    <w:p>
      <w:pPr>
        <w:pStyle w:val="ListBullet"/>
        <w:ind w:left="720" w:hanging="360"/>
      </w:pPr>
      <w:r>
        <w:t xml:space="preserve">plots/18_vus_pathogenic_regions/vus_pathogenic_vs_benign_neighborhood_20bp.svg</w:t>
      </w:r>
    </w:p>
    <w:p>
      <w:pPr>
        <w:pStyle w:val="ListBullet"/>
        <w:ind w:left="720" w:hanging="360"/>
      </w:pPr>
      <w:r>
        <w:t xml:space="preserve">plots/18_vus_pathogenic_regions/vus_pathogenic_vs_benign_neighborhood_50bp.svg</w:t>
      </w:r>
    </w:p>
    <w:p>
      <w:pPr>
        <w:pStyle w:val="ListBullet"/>
        <w:ind w:left="720" w:hanging="360"/>
      </w:pPr>
      <w:r>
        <w:t xml:space="preserve">plots/23_brca1_brct1_mixed_cluster/brca1_brct1_mixed_cluster_class_profile.svg</w:t>
      </w:r>
    </w:p>
    <w:p>
      <w:r>
        <w:t xml:space="preserve">Message: some VUS lie in generated neighborhoods that are more pathogenic than benign, but this is a prioritization signal only. The +/-20 bp view is the stricter local view, while +/-50 bp is a smoother local-neighborhood summary. In these scatter plots, each point is one VUS. The x-axis is not genomic position; it is the number of generated benign/likely benign class 1/2 variants within the chosen window around that VUS. The y-axis is the number of generated likely pathogenic/pathogenic class 4/5 variants in the same window. Thus +/-20 bp means the VUS is centered in a 40 bp coding window: 20 coding bases upstream and 20 coding bases downstream.</w:t>
      </w:r>
    </w:p>
    <w:p>
      <w:pPr>
        <w:pStyle w:val="Heading3"/>
      </w:pPr>
      <w:r>
        <w:t xml:space="preserve">Figure 3: Position Is Not Variant</w:t>
      </w:r>
    </w:p>
    <w:p>
      <w:r>
        <w:t xml:space="preserve">Suggested source file:</w:t>
      </w:r>
    </w:p>
    <w:p>
      <w:pPr>
        <w:pStyle w:val="ListBullet"/>
        <w:ind w:left="720" w:hanging="360"/>
      </w:pPr>
      <w:r>
        <w:t xml:space="preserve">plots/24_position_context_concept/position_is_not_variant_context_is_not_evidence.svg</w:t>
      </w:r>
    </w:p>
    <w:p>
      <w:r>
        <w:t xml:space="preserve">Message: local pathogenic enrichment is a context signal, not an ACMG/ENIGMA evidence criterion. The figure summarizes four ideas: one position can produce different variant consequences, one codon can contain mixed generated classes, the local window around a VUS is useful for review prioritization, and the BRCA1 BRCT1 cluster is an example of a mixed local context.</w:t>
      </w:r>
    </w:p>
    <w:p>
      <w:pPr>
        <w:pStyle w:val="Heading3"/>
      </w:pPr>
      <w:r>
        <w:t xml:space="preserve">Figure 4: What Drives Regional Pathogenic Enrichment?</w:t>
      </w:r>
    </w:p>
    <w:p>
      <w:r>
        <w:t xml:space="preserve">Suggested source files:</w:t>
      </w:r>
    </w:p>
    <w:p>
      <w:pPr>
        <w:pStyle w:val="ListBullet"/>
        <w:ind w:left="720" w:hanging="360"/>
      </w:pPr>
      <w:r>
        <w:t xml:space="preserve">plots/25_regional_driver_decomposition/regional_signal_categories.svg</w:t>
      </w:r>
    </w:p>
    <w:p>
      <w:pPr>
        <w:pStyle w:val="ListBullet"/>
        <w:ind w:left="720" w:hanging="360"/>
      </w:pPr>
      <w:r>
        <w:t xml:space="preserve">plots/25_regional_driver_decomposition/pathogenic_fraction_driver_ablation.svg</w:t>
      </w:r>
    </w:p>
    <w:p>
      <w:pPr>
        <w:pStyle w:val="ListBullet"/>
        <w:ind w:left="720" w:hanging="360"/>
      </w:pPr>
      <w:r>
        <w:t xml:space="preserve">plots/25_regional_driver_decomposition/brca1_regional_driver_tracks.svg</w:t>
      </w:r>
    </w:p>
    <w:p>
      <w:pPr>
        <w:pStyle w:val="ListBullet"/>
        <w:ind w:left="720" w:hanging="360"/>
      </w:pPr>
      <w:r>
        <w:t xml:space="preserve">plots/25_regional_driver_decomposition/brca2_regional_driver_tracks.svg</w:t>
      </w:r>
    </w:p>
    <w:p>
      <w:r>
        <w:t xml:space="preserve">Message: pathogenic-enriched regions in the precomputed Module 1 map are mostly explained by variant-level drivers: truncation-related criteria, splice/PP3 signal, and functional evidence. After excluding truncation, splice, and functional-evidence drivers together, the residual regional pathogenic fraction is zero in the current 100 bp bin analysis. This should be presented as a rule-system sanity check, not as an unexpected biological result.</w:t>
      </w:r>
    </w:p>
    <w:p>
      <w:pPr>
        <w:pStyle w:val="Heading3"/>
      </w:pPr>
      <w:r>
        <w:t xml:space="preserve">Figure 5: Positional Context Follow-up</w:t>
      </w:r>
    </w:p>
    <w:p>
      <w:r>
        <w:t xml:space="preserve">Suggested source files:</w:t>
      </w:r>
    </w:p>
    <w:p>
      <w:pPr>
        <w:pStyle w:val="ListBullet"/>
        <w:ind w:left="720" w:hanging="360"/>
      </w:pPr>
      <w:r>
        <w:t xml:space="preserve">plots/26_positional_context_followup/variant_type_grouped_class_stacked.svg</w:t>
      </w:r>
    </w:p>
    <w:p>
      <w:pPr>
        <w:pStyle w:val="ListBullet"/>
        <w:ind w:left="720" w:hanging="360"/>
      </w:pPr>
      <w:r>
        <w:t xml:space="preserve">plots/26_positional_context_followup/splice_driver_vs_pathogenic_fraction.svg</w:t>
      </w:r>
    </w:p>
    <w:p>
      <w:pPr>
        <w:pStyle w:val="ListBullet"/>
        <w:ind w:left="720" w:hanging="360"/>
      </w:pPr>
      <w:r>
        <w:t xml:space="preserve">plots/26_positional_context_followup/functional_driver_vs_pathogenic_fraction.svg</w:t>
      </w:r>
    </w:p>
    <w:p>
      <w:pPr>
        <w:pStyle w:val="ListBullet"/>
        <w:ind w:left="720" w:hanging="360"/>
      </w:pPr>
      <w:r>
        <w:t xml:space="preserve">plots/26_positional_context_followup/mixed_position_codon_driver_ablation.svg</w:t>
      </w:r>
    </w:p>
    <w:p>
      <w:r>
        <w:t xml:space="preserve">Message: local context patterns are mostly explained by specific variant-level drivers. Nonsense/PTC variants explain much of the pathogenic signal, splice bins identify PP3/SpliceAI-driven regions, functional bins identify regions with PS3/BS3 evidence, and mixed position/codon contexts disappear after excluding truncation, splice, and functional-evidence drivers together. Because these drivers are the main route to class 4/5 in the current map, this is a structural check rather than independent validation.</w:t>
      </w:r>
    </w:p>
    <w:p>
      <w:pPr>
        <w:pStyle w:val="Heading3"/>
      </w:pPr>
      <w:r>
        <w:t xml:space="preserve">Figure 6: Decision Bottlenecks</w:t>
      </w:r>
    </w:p>
    <w:p>
      <w:r>
        <w:t xml:space="preserve">Suggested source files:</w:t>
      </w:r>
    </w:p>
    <w:p>
      <w:pPr>
        <w:pStyle w:val="ListBullet"/>
        <w:ind w:left="720" w:hanging="360"/>
      </w:pPr>
      <w:r>
        <w:t xml:space="preserve">plots/12_vus_bottleneck/vus_bottleneck_categories.svg</w:t>
      </w:r>
    </w:p>
    <w:p>
      <w:pPr>
        <w:pStyle w:val="ListBullet"/>
        <w:ind w:left="720" w:hanging="360"/>
      </w:pPr>
      <w:r>
        <w:t xml:space="preserve">plots/12_vus_bottleneck/vus_bottleneck_combinations.svg</w:t>
      </w:r>
    </w:p>
    <w:p>
      <w:r>
        <w:t xml:space="preserve">Message: most VUS are low-information or one-evidence-item-short rather than clear contradictory cases.</w:t>
      </w:r>
    </w:p>
    <w:p>
      <w:pPr>
        <w:pStyle w:val="Heading3"/>
      </w:pPr>
      <w:r>
        <w:t xml:space="preserve">Figure 7: Domain Context And Benign Counterexamples</w:t>
      </w:r>
    </w:p>
    <w:p>
      <w:r>
        <w:t xml:space="preserve">Suggested source files:</w:t>
      </w:r>
    </w:p>
    <w:p>
      <w:pPr>
        <w:pStyle w:val="ListBullet"/>
        <w:ind w:left="720" w:hanging="360"/>
      </w:pPr>
      <w:r>
        <w:t xml:space="preserve">plots/19_benign_structure_function/benign_vs_pathogenic_feature_comparison.svg</w:t>
      </w:r>
    </w:p>
    <w:p>
      <w:pPr>
        <w:pStyle w:val="ListBullet"/>
        <w:ind w:left="720" w:hanging="360"/>
      </w:pPr>
      <w:r>
        <w:t xml:space="preserve">plots/20_benign_counterexamples/tier_summary.svg</w:t>
      </w:r>
    </w:p>
    <w:p>
      <w:pPr>
        <w:pStyle w:val="ListBullet"/>
        <w:ind w:left="720" w:hanging="360"/>
      </w:pPr>
      <w:r>
        <w:t xml:space="preserve">plots/21_bs3_domain_conflicts/domain_mechanism_stacked.svg</w:t>
      </w:r>
    </w:p>
    <w:p>
      <w:r>
        <w:t xml:space="preserve">Message: structural context helps prioritize, but benign counterexamples and BS3 evidence prevent simple domain-based interpretation.</w:t>
      </w:r>
    </w:p>
    <w:p>
      <w:pPr>
        <w:pStyle w:val="Heading2"/>
      </w:pPr>
      <w:r>
        <w:t xml:space="preserve">Practical Curation Workflow</w:t>
      </w:r>
    </w:p>
    <w:p>
      <w:pPr>
        <w:pStyle w:val="ListNumber"/>
        <w:ind w:left="720" w:hanging="360"/>
      </w:pPr>
      <w:r>
        <w:t xml:space="preserve">Start with tier1_urgent and tier2_high VUS.</w:t>
      </w:r>
    </w:p>
    <w:p>
      <w:pPr>
        <w:pStyle w:val="ListNumber"/>
        <w:ind w:left="720" w:hanging="360"/>
      </w:pPr>
      <w:r>
        <w:t xml:space="preserve">Check whether the VUS belongs to a clear bottleneck category.</w:t>
      </w:r>
    </w:p>
    <w:p>
      <w:pPr>
        <w:pStyle w:val="ListNumber"/>
        <w:ind w:left="720" w:hanging="360"/>
      </w:pPr>
      <w:r>
        <w:t xml:space="preserve">If splice signal is present, verify transcript relevance and boundary</w:t>
      </w:r>
    </w:p>
    <w:p>
      <w:r>
        <w:t xml:space="preserve">context.</w:t>
      </w:r>
    </w:p>
    <w:p>
      <w:pPr>
        <w:pStyle w:val="ListNumber"/>
        <w:ind w:left="720" w:hanging="360"/>
      </w:pPr>
      <w:r>
        <w:t xml:space="preserve">If the VUS lies in a pathogenic region, inspect nearby benign and pathogenic</w:t>
      </w:r>
    </w:p>
    <w:p>
      <w:r>
        <w:t xml:space="preserve">variants.</w:t>
      </w:r>
    </w:p>
    <w:p>
      <w:pPr>
        <w:pStyle w:val="ListNumber"/>
        <w:ind w:left="720" w:hanging="360"/>
      </w:pPr>
      <w:r>
        <w:t xml:space="preserve">If the VUS lies in RING, BRCT, BRCA2 DBD, PALB2, RAD51/BRC, or SEM1/DSS1</w:t>
      </w:r>
    </w:p>
    <w:p>
      <w:r>
        <w:t xml:space="preserve">context, inspect benign counterexamples and residue-level annotations.</w:t>
      </w:r>
    </w:p>
    <w:p>
      <w:pPr>
        <w:pStyle w:val="ListNumber"/>
        <w:ind w:left="720" w:hanging="360"/>
      </w:pPr>
      <w:r>
        <w:t xml:space="preserve">If BS3 conflicts with PP3 or high SpliceAI, inspect assay metadata before</w:t>
      </w:r>
    </w:p>
    <w:p>
      <w:r>
        <w:t xml:space="preserve">interpreting the conflict.</w:t>
      </w:r>
    </w:p>
    <w:p>
      <w:pPr>
        <w:pStyle w:val="ListNumber"/>
        <w:ind w:left="720" w:hanging="360"/>
      </w:pPr>
      <w:r>
        <w:t xml:space="preserve">Search for missing accepted evidence: RNA, functional assay metadata, PS1,</w:t>
      </w:r>
    </w:p>
    <w:p>
      <w:r>
        <w:t xml:space="preserve">PP1, PM3, PS4, PP4, or curated expert classifications.</w:t>
      </w:r>
    </w:p>
    <w:p>
      <w:pPr>
        <w:pStyle w:val="Heading2"/>
      </w:pPr>
      <w:r>
        <w:t xml:space="preserve">Limitations</w:t>
      </w:r>
    </w:p>
    <w:p>
      <w:r>
        <w:t xml:space="preserve">This analysis has several important limitations:</w:t>
      </w:r>
    </w:p>
    <w:p>
      <w:pPr>
        <w:pStyle w:val="ListBullet"/>
        <w:ind w:left="720" w:hanging="360"/>
      </w:pPr>
      <w:r>
        <w:t xml:space="preserve">It studies a generated ARIANE Module 1 snapshot, not independent clinical</w:t>
      </w:r>
    </w:p>
    <w:p>
      <w:r>
        <w:t xml:space="preserve">truth.</w:t>
      </w:r>
    </w:p>
    <w:p>
      <w:pPr>
        <w:pStyle w:val="ListBullet"/>
        <w:ind w:left="720" w:hanging="360"/>
      </w:pPr>
      <w:r>
        <w:t xml:space="preserve">It does not reclassify variants.</w:t>
      </w:r>
    </w:p>
    <w:p>
      <w:pPr>
        <w:pStyle w:val="ListBullet"/>
        <w:ind w:left="720" w:hanging="360"/>
      </w:pPr>
      <w:r>
        <w:t xml:space="preserve">It covers coding SNVs only.</w:t>
      </w:r>
    </w:p>
    <w:p>
      <w:pPr>
        <w:pStyle w:val="ListBullet"/>
        <w:ind w:left="720" w:hanging="360"/>
      </w:pPr>
      <w:r>
        <w:t xml:space="preserve">It does not include indels, CNVs, deep intronic variants, promoter variants,</w:t>
      </w:r>
    </w:p>
    <w:p>
      <w:r>
        <w:t xml:space="preserve">or UTR variants.</w:t>
      </w:r>
    </w:p>
    <w:p>
      <w:pPr>
        <w:pStyle w:val="ListBullet"/>
        <w:ind w:left="720" w:hanging="360"/>
      </w:pPr>
      <w:r>
        <w:t xml:space="preserve">It uses only currently automated Module 1 criteria.</w:t>
      </w:r>
    </w:p>
    <w:p>
      <w:pPr>
        <w:pStyle w:val="ListBullet"/>
        <w:ind w:left="720" w:hanging="360"/>
      </w:pPr>
      <w:r>
        <w:t xml:space="preserve">Several important ACMG/ENIGMA criteria remain non-automated and require</w:t>
      </w:r>
    </w:p>
    <w:p>
      <w:r>
        <w:t xml:space="preserve">expert review.</w:t>
      </w:r>
    </w:p>
    <w:p>
      <w:pPr>
        <w:pStyle w:val="ListBullet"/>
        <w:ind w:left="720" w:hanging="360"/>
      </w:pPr>
      <w:r>
        <w:t xml:space="preserve">Domain and interface annotations are incomplete and should not be treated as</w:t>
      </w:r>
    </w:p>
    <w:p>
      <w:r>
        <w:t xml:space="preserve">classification evidence.</w:t>
      </w:r>
    </w:p>
    <w:p>
      <w:pPr>
        <w:pStyle w:val="ListBullet"/>
        <w:ind w:left="720" w:hanging="360"/>
      </w:pPr>
      <w:r>
        <w:t xml:space="preserve">BS3 and PS3 require assay metadata to understand what biological mechanism was</w:t>
      </w:r>
    </w:p>
    <w:p>
      <w:r>
        <w:t xml:space="preserve">measured.</w:t>
      </w:r>
    </w:p>
    <w:p>
      <w:pPr>
        <w:pStyle w:val="ListBullet"/>
        <w:ind w:left="720" w:hanging="360"/>
      </w:pPr>
      <w:r>
        <w:t xml:space="preserve">The current priority score is heuristic. Thresholds and weights need</w:t>
      </w:r>
    </w:p>
    <w:p>
      <w:r>
        <w:t xml:space="preserve">additional sensitivity analysis and external justification before clinical or publication-level claims are made.</w:t>
      </w:r>
    </w:p>
    <w:p>
      <w:pPr>
        <w:pStyle w:val="ListBullet"/>
        <w:ind w:left="720" w:hanging="360"/>
      </w:pPr>
      <w:r>
        <w:t xml:space="preserve">The neighborhood component is partially redundant with the generated</w:t>
      </w:r>
    </w:p>
    <w:p>
      <w:r>
        <w:t xml:space="preserve">rule-based map. It is useful as context and review triage, but it should not be described as independent evidence.</w:t>
      </w:r>
    </w:p>
    <w:p>
      <w:pPr>
        <w:pStyle w:val="ListBullet"/>
        <w:ind w:left="720" w:hanging="360"/>
      </w:pPr>
      <w:r>
        <w:t xml:space="preserve">The framework still needs validation against external curated classifications,</w:t>
      </w:r>
    </w:p>
    <w:p>
      <w:r>
        <w:t xml:space="preserve">such as ENIGMA, ClinVar high-review variants, EQA examples, or local expert review data.</w:t>
      </w:r>
    </w:p>
    <w:p>
      <w:pPr>
        <w:pStyle w:val="Heading2"/>
      </w:pPr>
      <w:r>
        <w:t xml:space="preserve">Conclusion</w:t>
      </w:r>
    </w:p>
    <w:p>
      <w:r>
        <w:t xml:space="preserve">The ARIANE Module 1 snapshot can be used to organize BRCA1/2 VUS into practical manual-review candidate groups. The framework does not predict pathogenicity and does not change any classification. Instead, it identifies VUS that are more informative to inspect first because they combine rule-based signals, splice signals, local pathogenic neighborhoods, domain/interface context, or evidence conflicts.</w:t>
      </w:r>
    </w:p>
    <w:p>
      <w:r>
        <w:t xml:space="preserve">The most useful current output is a structured review queue for internal curation and method development. It is not yet a validated prioritization method. External validation against curated expert classifications, such as ENIGMA, ClinVar high-review variants, EQA examples, or local expert review data, is required before claiming that tier1/tier2 variants are truly more likely to be clinically resolvable or more useful to review first.</w:t>
      </w:r>
    </w:p>
    <w:p>
      <w:pPr>
        <w:pStyle w:val="Heading2"/>
      </w:pPr>
      <w:r>
        <w:t xml:space="preserve">Main Local Outputs Used</w:t>
      </w:r>
    </w:p>
    <w:p>
      <w:pPr>
        <w:pStyle w:val="ListBullet"/>
        <w:ind w:left="720" w:hanging="360"/>
      </w:pPr>
      <w:r>
        <w:t xml:space="preserve">tables/vus_prioritization/vus_priority_annotated.csv</w:t>
      </w:r>
    </w:p>
    <w:p>
      <w:pPr>
        <w:pStyle w:val="ListBullet"/>
        <w:ind w:left="720" w:hanging="360"/>
      </w:pPr>
      <w:r>
        <w:t xml:space="preserve">tables/vus_prioritization/vus_priority_top_by_category.csv</w:t>
      </w:r>
    </w:p>
    <w:p>
      <w:pPr>
        <w:pStyle w:val="ListBullet"/>
        <w:ind w:left="720" w:hanging="360"/>
      </w:pPr>
      <w:r>
        <w:t xml:space="preserve">tables/vus_bottleneck/vus_bottleneck_summary.csv</w:t>
      </w:r>
    </w:p>
    <w:p>
      <w:pPr>
        <w:pStyle w:val="ListBullet"/>
        <w:ind w:left="720" w:hanging="360"/>
      </w:pPr>
      <w:r>
        <w:t xml:space="preserve">tables/vus_pathogenic_regions/vus_pathogenic_region_top_candidates.csv</w:t>
      </w:r>
    </w:p>
    <w:p>
      <w:pPr>
        <w:pStyle w:val="ListBullet"/>
        <w:ind w:left="720" w:hanging="360"/>
      </w:pPr>
      <w:r>
        <w:t xml:space="preserve">tables/benign_counterexamples/benign_counterexamples.csv</w:t>
      </w:r>
    </w:p>
    <w:p>
      <w:pPr>
        <w:pStyle w:val="ListBullet"/>
        <w:ind w:left="720" w:hanging="360"/>
      </w:pPr>
      <w:r>
        <w:t xml:space="preserve">tables/bs3_domain_conflicts/bs3_domain_conflict_variants.csv</w:t>
      </w:r>
    </w:p>
    <w:p>
      <w:pPr>
        <w:pStyle w:val="ListBullet"/>
        <w:ind w:left="720" w:hanging="360"/>
      </w:pPr>
      <w:r>
        <w:t xml:space="preserve">tables/bs3_functional_source_audit/brca1_bs3_table9_vs_findlay_sge.csv</w:t>
      </w:r>
    </w:p>
    <w:p>
      <w:pPr>
        <w:pStyle w:val="ListBullet"/>
        <w:ind w:left="720" w:hanging="360"/>
      </w:pPr>
      <w:r>
        <w:t xml:space="preserve">tables/bs3_functional_source_audit/brca1_bs3_findlay_match_summary.csv</w:t>
      </w:r>
    </w:p>
    <w:p>
      <w:pPr>
        <w:pStyle w:val="ListBullet"/>
        <w:ind w:left="720" w:hanging="360"/>
      </w:pPr>
      <w:r>
        <w:t xml:space="preserve">tables/vus_manuscript_critique_response/neighborhood_increment_summary.csv</w:t>
      </w:r>
    </w:p>
    <w:p>
      <w:pPr>
        <w:pStyle w:val="ListBullet"/>
        <w:ind w:left="720" w:hanging="360"/>
      </w:pPr>
      <w:r>
        <w:t xml:space="preserve">tables/vus_manuscript_critique_response/tier_transition_without_neighborhood.csv</w:t>
      </w:r>
    </w:p>
    <w:p>
      <w:pPr>
        <w:pStyle w:val="ListBullet"/>
        <w:ind w:left="720" w:hanging="360"/>
      </w:pPr>
      <w:r>
        <w:t xml:space="preserve">vus_prioritization_report.md</w:t>
      </w:r>
    </w:p>
    <w:p>
      <w:pPr>
        <w:pStyle w:val="ListBullet"/>
        <w:ind w:left="720" w:hanging="360"/>
      </w:pPr>
      <w:r>
        <w:t xml:space="preserve">vus_bottleneck_report.md</w:t>
      </w:r>
    </w:p>
    <w:p>
      <w:pPr>
        <w:pStyle w:val="ListBullet"/>
        <w:ind w:left="720" w:hanging="360"/>
      </w:pPr>
      <w:r>
        <w:t xml:space="preserve">vus_pathogenic_region_report.md</w:t>
      </w:r>
    </w:p>
    <w:p>
      <w:pPr>
        <w:pStyle w:val="ListBullet"/>
        <w:ind w:left="720" w:hanging="360"/>
      </w:pPr>
      <w:r>
        <w:t xml:space="preserve">benign_counterexamples_report.md</w:t>
      </w:r>
    </w:p>
    <w:p>
      <w:pPr>
        <w:pStyle w:val="ListBullet"/>
        <w:ind w:left="720" w:hanging="360"/>
      </w:pPr>
      <w:r>
        <w:t xml:space="preserve">bs3_domain_conflict_report.md</w:t>
      </w:r>
    </w:p>
    <w:p>
      <w:pPr>
        <w:pStyle w:val="ListBullet"/>
        <w:ind w:left="720" w:hanging="360"/>
      </w:pPr>
      <w:r>
        <w:t xml:space="preserve">bs3_functional_source_audit_report.md</w:t>
      </w:r>
    </w:p>
    <w:p>
      <w:pPr>
        <w:pStyle w:val="ListBullet"/>
        <w:ind w:left="720" w:hanging="360"/>
      </w:pPr>
      <w:r>
        <w:t xml:space="preserve">vus_manuscript_critique_response_report.md</w:t>
      </w:r>
    </w:p>
    <w:p>
      <w:pPr>
        <w:pStyle w:val="Heading2"/>
      </w:pPr>
      <w:r>
        <w:t xml:space="preserve">Embedded Figures</w:t>
      </w:r>
    </w:p>
    <w:p>
      <w:pPr>
        <w:pStyle w:val="Heading3"/>
      </w:pPr>
      <w:r>
        <w:t xml:space="preserve">Figure 1A. VUS priority score distribution</w:t>
      </w:r>
    </w:p>
    <w:p>
      <w:pPr>
        <w:jc w:val="center"/>
      </w:pPr>
      <w:r>
        <w:drawing>
          <wp:inline distT="0" distB="0" distL="0" distR="0">
            <wp:extent cx="5760720" cy="2728762"/>
            <wp:effectExtent l="0" t="0" r="0" b="0"/>
            <wp:docPr id="101" name="vus_priority_score_histogram.svg"/>
            <wp:cNvGraphicFramePr>
              <a:graphicFrameLocks noChangeAspect="1"/>
            </wp:cNvGraphicFramePr>
            <a:graphic>
              <a:graphicData uri="http://schemas.openxmlformats.org/drawingml/2006/picture">
                <pic:pic>
                  <pic:nvPicPr>
                    <pic:cNvPr id="101" name="vus_priority_score_histogram.svg"/>
                    <pic:cNvPicPr/>
                  </pic:nvPicPr>
                  <pic:blipFill>
                    <a:blip r:embed="rIdImg1"/>
                    <a:stretch>
                      <a:fillRect/>
                    </a:stretch>
                  </pic:blipFill>
                  <pic:spPr>
                    <a:xfrm>
                      <a:off x="0" y="0"/>
                      <a:ext cx="5760720" cy="2728762"/>
                    </a:xfrm>
                    <a:prstGeom prst="rect">
                      <a:avLst/>
                    </a:prstGeom>
                  </pic:spPr>
                </pic:pic>
              </a:graphicData>
            </a:graphic>
          </wp:inline>
        </w:drawing>
      </w:r>
    </w:p>
    <w:p>
      <w:pPr>
        <w:pStyle w:val="Heading3"/>
      </w:pPr>
      <w:r>
        <w:t xml:space="preserve">Figure 1B. Most common VUS priority reasons</w:t>
      </w:r>
    </w:p>
    <w:p>
      <w:pPr>
        <w:jc w:val="center"/>
      </w:pPr>
      <w:r>
        <w:drawing>
          <wp:inline distT="0" distB="0" distL="0" distR="0">
            <wp:extent cx="5760720" cy="2850040"/>
            <wp:effectExtent l="0" t="0" r="0" b="0"/>
            <wp:docPr id="102" name="vus_priority_reason_counts.svg"/>
            <wp:cNvGraphicFramePr>
              <a:graphicFrameLocks noChangeAspect="1"/>
            </wp:cNvGraphicFramePr>
            <a:graphic>
              <a:graphicData uri="http://schemas.openxmlformats.org/drawingml/2006/picture">
                <pic:pic>
                  <pic:nvPicPr>
                    <pic:cNvPr id="102" name="vus_priority_reason_counts.svg"/>
                    <pic:cNvPicPr/>
                  </pic:nvPicPr>
                  <pic:blipFill>
                    <a:blip r:embed="rIdImg2"/>
                    <a:stretch>
                      <a:fillRect/>
                    </a:stretch>
                  </pic:blipFill>
                  <pic:spPr>
                    <a:xfrm>
                      <a:off x="0" y="0"/>
                      <a:ext cx="5760720" cy="2850040"/>
                    </a:xfrm>
                    <a:prstGeom prst="rect">
                      <a:avLst/>
                    </a:prstGeom>
                  </pic:spPr>
                </pic:pic>
              </a:graphicData>
            </a:graphic>
          </wp:inline>
        </w:drawing>
      </w:r>
    </w:p>
    <w:p>
      <w:pPr>
        <w:pStyle w:val="Heading3"/>
      </w:pPr>
      <w:r>
        <w:t xml:space="preserve">Figure 1C. Neighborhood contribution to VUS priority</w:t>
      </w:r>
    </w:p>
    <w:p>
      <w:pPr>
        <w:jc w:val="center"/>
      </w:pPr>
      <w:r>
        <w:drawing>
          <wp:inline distT="0" distB="0" distL="0" distR="0">
            <wp:extent cx="5760720" cy="2304288"/>
            <wp:effectExtent l="0" t="0" r="0" b="0"/>
            <wp:docPr id="103" name="neighborhood_increment_summary.svg"/>
            <wp:cNvGraphicFramePr>
              <a:graphicFrameLocks noChangeAspect="1"/>
            </wp:cNvGraphicFramePr>
            <a:graphic>
              <a:graphicData uri="http://schemas.openxmlformats.org/drawingml/2006/picture">
                <pic:pic>
                  <pic:nvPicPr>
                    <pic:cNvPr id="103" name="neighborhood_increment_summary.svg"/>
                    <pic:cNvPicPr/>
                  </pic:nvPicPr>
                  <pic:blipFill>
                    <a:blip r:embed="rIdImg3"/>
                    <a:stretch>
                      <a:fillRect/>
                    </a:stretch>
                  </pic:blipFill>
                  <pic:spPr>
                    <a:xfrm>
                      <a:off x="0" y="0"/>
                      <a:ext cx="5760720" cy="2304288"/>
                    </a:xfrm>
                    <a:prstGeom prst="rect">
                      <a:avLst/>
                    </a:prstGeom>
                  </pic:spPr>
                </pic:pic>
              </a:graphicData>
            </a:graphic>
          </wp:inline>
        </w:drawing>
      </w:r>
    </w:p>
    <w:p>
      <w:pPr>
        <w:pStyle w:val="Heading3"/>
      </w:pPr>
      <w:r>
        <w:t xml:space="preserve">Figure 1D. Priority tier change after removing neighborhood points</w:t>
      </w:r>
    </w:p>
    <w:p>
      <w:pPr>
        <w:jc w:val="center"/>
      </w:pPr>
      <w:r>
        <w:drawing>
          <wp:inline distT="0" distB="0" distL="0" distR="0">
            <wp:extent cx="5760720" cy="2950612"/>
            <wp:effectExtent l="0" t="0" r="0" b="0"/>
            <wp:docPr id="104" name="tier_transition_without_neighborhood.svg"/>
            <wp:cNvGraphicFramePr>
              <a:graphicFrameLocks noChangeAspect="1"/>
            </wp:cNvGraphicFramePr>
            <a:graphic>
              <a:graphicData uri="http://schemas.openxmlformats.org/drawingml/2006/picture">
                <pic:pic>
                  <pic:nvPicPr>
                    <pic:cNvPr id="104" name="tier_transition_without_neighborhood.svg"/>
                    <pic:cNvPicPr/>
                  </pic:nvPicPr>
                  <pic:blipFill>
                    <a:blip r:embed="rIdImg4"/>
                    <a:stretch>
                      <a:fillRect/>
                    </a:stretch>
                  </pic:blipFill>
                  <pic:spPr>
                    <a:xfrm>
                      <a:off x="0" y="0"/>
                      <a:ext cx="5760720" cy="2950612"/>
                    </a:xfrm>
                    <a:prstGeom prst="rect">
                      <a:avLst/>
                    </a:prstGeom>
                  </pic:spPr>
                </pic:pic>
              </a:graphicData>
            </a:graphic>
          </wp:inline>
        </w:drawing>
      </w:r>
    </w:p>
    <w:p>
      <w:pPr>
        <w:pStyle w:val="Heading3"/>
      </w:pPr>
      <w:r>
        <w:t xml:space="preserve">Figure 2A. VUS pathogenic-region summary</w:t>
      </w:r>
    </w:p>
    <w:p>
      <w:pPr>
        <w:jc w:val="center"/>
      </w:pPr>
      <w:r>
        <w:drawing>
          <wp:inline distT="0" distB="0" distL="0" distR="0">
            <wp:extent cx="5760720" cy="2010373"/>
            <wp:effectExtent l="0" t="0" r="0" b="0"/>
            <wp:docPr id="105" name="vus_pathogenic_region_summary.svg"/>
            <wp:cNvGraphicFramePr>
              <a:graphicFrameLocks noChangeAspect="1"/>
            </wp:cNvGraphicFramePr>
            <a:graphic>
              <a:graphicData uri="http://schemas.openxmlformats.org/drawingml/2006/picture">
                <pic:pic>
                  <pic:nvPicPr>
                    <pic:cNvPr id="105" name="vus_pathogenic_region_summary.svg"/>
                    <pic:cNvPicPr/>
                  </pic:nvPicPr>
                  <pic:blipFill>
                    <a:blip r:embed="rIdImg5"/>
                    <a:stretch>
                      <a:fillRect/>
                    </a:stretch>
                  </pic:blipFill>
                  <pic:spPr>
                    <a:xfrm>
                      <a:off x="0" y="0"/>
                      <a:ext cx="5760720" cy="2010373"/>
                    </a:xfrm>
                    <a:prstGeom prst="rect">
                      <a:avLst/>
                    </a:prstGeom>
                  </pic:spPr>
                </pic:pic>
              </a:graphicData>
            </a:graphic>
          </wp:inline>
        </w:drawing>
      </w:r>
    </w:p>
    <w:p>
      <w:pPr>
        <w:pStyle w:val="Heading3"/>
      </w:pPr>
      <w:r>
        <w:t xml:space="preserve">Figure 2B. VUS local neighborhood: pathogenic versus benign, +/-20 bp</w:t>
      </w:r>
    </w:p>
    <w:p>
      <w:pPr>
        <w:jc w:val="center"/>
      </w:pPr>
      <w:r>
        <w:drawing>
          <wp:inline distT="0" distB="0" distL="0" distR="0">
            <wp:extent cx="5760720" cy="4098973"/>
            <wp:effectExtent l="0" t="0" r="0" b="0"/>
            <wp:docPr id="106" name="vus_pathogenic_vs_benign_neighborhood_20bp.svg"/>
            <wp:cNvGraphicFramePr>
              <a:graphicFrameLocks noChangeAspect="1"/>
            </wp:cNvGraphicFramePr>
            <a:graphic>
              <a:graphicData uri="http://schemas.openxmlformats.org/drawingml/2006/picture">
                <pic:pic>
                  <pic:nvPicPr>
                    <pic:cNvPr id="106" name="vus_pathogenic_vs_benign_neighborhood_20bp.svg"/>
                    <pic:cNvPicPr/>
                  </pic:nvPicPr>
                  <pic:blipFill>
                    <a:blip r:embed="rIdImg6"/>
                    <a:stretch>
                      <a:fillRect/>
                    </a:stretch>
                  </pic:blipFill>
                  <pic:spPr>
                    <a:xfrm>
                      <a:off x="0" y="0"/>
                      <a:ext cx="5760720" cy="4098973"/>
                    </a:xfrm>
                    <a:prstGeom prst="rect">
                      <a:avLst/>
                    </a:prstGeom>
                  </pic:spPr>
                </pic:pic>
              </a:graphicData>
            </a:graphic>
          </wp:inline>
        </w:drawing>
      </w:r>
    </w:p>
    <w:p>
      <w:pPr>
        <w:pStyle w:val="Heading3"/>
      </w:pPr>
      <w:r>
        <w:t xml:space="preserve">Figure 2C. VUS local neighborhood: pathogenic versus benign, +/-50 bp</w:t>
      </w:r>
    </w:p>
    <w:p>
      <w:pPr>
        <w:jc w:val="center"/>
      </w:pPr>
      <w:r>
        <w:drawing>
          <wp:inline distT="0" distB="0" distL="0" distR="0">
            <wp:extent cx="5760720" cy="4098973"/>
            <wp:effectExtent l="0" t="0" r="0" b="0"/>
            <wp:docPr id="107" name="vus_pathogenic_vs_benign_neighborhood_50bp.svg"/>
            <wp:cNvGraphicFramePr>
              <a:graphicFrameLocks noChangeAspect="1"/>
            </wp:cNvGraphicFramePr>
            <a:graphic>
              <a:graphicData uri="http://schemas.openxmlformats.org/drawingml/2006/picture">
                <pic:pic>
                  <pic:nvPicPr>
                    <pic:cNvPr id="107" name="vus_pathogenic_vs_benign_neighborhood_50bp.svg"/>
                    <pic:cNvPicPr/>
                  </pic:nvPicPr>
                  <pic:blipFill>
                    <a:blip r:embed="rIdImg7"/>
                    <a:stretch>
                      <a:fillRect/>
                    </a:stretch>
                  </pic:blipFill>
                  <pic:spPr>
                    <a:xfrm>
                      <a:off x="0" y="0"/>
                      <a:ext cx="5760720" cy="4098973"/>
                    </a:xfrm>
                    <a:prstGeom prst="rect">
                      <a:avLst/>
                    </a:prstGeom>
                  </pic:spPr>
                </pic:pic>
              </a:graphicData>
            </a:graphic>
          </wp:inline>
        </w:drawing>
      </w:r>
    </w:p>
    <w:p>
      <w:pPr>
        <w:pStyle w:val="Heading3"/>
      </w:pPr>
      <w:r>
        <w:t xml:space="preserve">Figure 2D. BRCA1 BRCT1 mixed VUS cluster, c.5044-c.5143</w:t>
      </w:r>
    </w:p>
    <w:p>
      <w:pPr>
        <w:jc w:val="center"/>
      </w:pPr>
      <w:r>
        <w:drawing>
          <wp:inline distT="0" distB="0" distL="0" distR="0">
            <wp:extent cx="5760720" cy="1903966"/>
            <wp:effectExtent l="0" t="0" r="0" b="0"/>
            <wp:docPr id="108" name="brca1_brct1_mixed_cluster_class_profile.svg"/>
            <wp:cNvGraphicFramePr>
              <a:graphicFrameLocks noChangeAspect="1"/>
            </wp:cNvGraphicFramePr>
            <a:graphic>
              <a:graphicData uri="http://schemas.openxmlformats.org/drawingml/2006/picture">
                <pic:pic>
                  <pic:nvPicPr>
                    <pic:cNvPr id="108" name="brca1_brct1_mixed_cluster_class_profile.svg"/>
                    <pic:cNvPicPr/>
                  </pic:nvPicPr>
                  <pic:blipFill>
                    <a:blip r:embed="rIdImg8"/>
                    <a:stretch>
                      <a:fillRect/>
                    </a:stretch>
                  </pic:blipFill>
                  <pic:spPr>
                    <a:xfrm>
                      <a:off x="0" y="0"/>
                      <a:ext cx="5760720" cy="1903966"/>
                    </a:xfrm>
                    <a:prstGeom prst="rect">
                      <a:avLst/>
                    </a:prstGeom>
                  </pic:spPr>
                </pic:pic>
              </a:graphicData>
            </a:graphic>
          </wp:inline>
        </w:drawing>
      </w:r>
    </w:p>
    <w:p>
      <w:pPr>
        <w:pStyle w:val="Heading3"/>
      </w:pPr>
      <w:r>
        <w:t xml:space="preserve">Figure 3. Position is not variant: local context is not evidence</w:t>
      </w:r>
    </w:p>
    <w:p>
      <w:pPr>
        <w:jc w:val="center"/>
      </w:pPr>
      <w:r>
        <w:drawing>
          <wp:inline distT="0" distB="0" distL="0" distR="0">
            <wp:extent cx="5760720" cy="4060835"/>
            <wp:effectExtent l="0" t="0" r="0" b="0"/>
            <wp:docPr id="109" name="position_is_not_variant_context_is_not_evidence.svg"/>
            <wp:cNvGraphicFramePr>
              <a:graphicFrameLocks noChangeAspect="1"/>
            </wp:cNvGraphicFramePr>
            <a:graphic>
              <a:graphicData uri="http://schemas.openxmlformats.org/drawingml/2006/picture">
                <pic:pic>
                  <pic:nvPicPr>
                    <pic:cNvPr id="109" name="position_is_not_variant_context_is_not_evidence.svg"/>
                    <pic:cNvPicPr/>
                  </pic:nvPicPr>
                  <pic:blipFill>
                    <a:blip r:embed="rIdImg9"/>
                    <a:stretch>
                      <a:fillRect/>
                    </a:stretch>
                  </pic:blipFill>
                  <pic:spPr>
                    <a:xfrm>
                      <a:off x="0" y="0"/>
                      <a:ext cx="5760720" cy="4060835"/>
                    </a:xfrm>
                    <a:prstGeom prst="rect">
                      <a:avLst/>
                    </a:prstGeom>
                  </pic:spPr>
                </pic:pic>
              </a:graphicData>
            </a:graphic>
          </wp:inline>
        </w:drawing>
      </w:r>
    </w:p>
    <w:p>
      <w:pPr>
        <w:pStyle w:val="Heading3"/>
      </w:pPr>
      <w:r>
        <w:t xml:space="preserve">Figure 4A. Regional signal categories</w:t>
      </w:r>
    </w:p>
    <w:p>
      <w:pPr>
        <w:jc w:val="center"/>
      </w:pPr>
      <w:r>
        <w:drawing>
          <wp:inline distT="0" distB="0" distL="0" distR="0">
            <wp:extent cx="5760720" cy="1092136"/>
            <wp:effectExtent l="0" t="0" r="0" b="0"/>
            <wp:docPr id="110" name="regional_signal_categories.svg"/>
            <wp:cNvGraphicFramePr>
              <a:graphicFrameLocks noChangeAspect="1"/>
            </wp:cNvGraphicFramePr>
            <a:graphic>
              <a:graphicData uri="http://schemas.openxmlformats.org/drawingml/2006/picture">
                <pic:pic>
                  <pic:nvPicPr>
                    <pic:cNvPr id="110" name="regional_signal_categories.svg"/>
                    <pic:cNvPicPr/>
                  </pic:nvPicPr>
                  <pic:blipFill>
                    <a:blip r:embed="rIdImg10"/>
                    <a:stretch>
                      <a:fillRect/>
                    </a:stretch>
                  </pic:blipFill>
                  <pic:spPr>
                    <a:xfrm>
                      <a:off x="0" y="0"/>
                      <a:ext cx="5760720" cy="1092136"/>
                    </a:xfrm>
                    <a:prstGeom prst="rect">
                      <a:avLst/>
                    </a:prstGeom>
                  </pic:spPr>
                </pic:pic>
              </a:graphicData>
            </a:graphic>
          </wp:inline>
        </w:drawing>
      </w:r>
    </w:p>
    <w:p>
      <w:pPr>
        <w:pStyle w:val="Heading3"/>
      </w:pPr>
      <w:r>
        <w:t xml:space="preserve">Figure 4B. Regional pathogenic fraction after driver exclusions</w:t>
      </w:r>
    </w:p>
    <w:p>
      <w:pPr>
        <w:jc w:val="center"/>
      </w:pPr>
      <w:r>
        <w:drawing>
          <wp:inline distT="0" distB="0" distL="0" distR="0">
            <wp:extent cx="5760720" cy="2624328"/>
            <wp:effectExtent l="0" t="0" r="0" b="0"/>
            <wp:docPr id="111" name="pathogenic_fraction_driver_ablation.svg"/>
            <wp:cNvGraphicFramePr>
              <a:graphicFrameLocks noChangeAspect="1"/>
            </wp:cNvGraphicFramePr>
            <a:graphic>
              <a:graphicData uri="http://schemas.openxmlformats.org/drawingml/2006/picture">
                <pic:pic>
                  <pic:nvPicPr>
                    <pic:cNvPr id="111" name="pathogenic_fraction_driver_ablation.svg"/>
                    <pic:cNvPicPr/>
                  </pic:nvPicPr>
                  <pic:blipFill>
                    <a:blip r:embed="rIdImg11"/>
                    <a:stretch>
                      <a:fillRect/>
                    </a:stretch>
                  </pic:blipFill>
                  <pic:spPr>
                    <a:xfrm>
                      <a:off x="0" y="0"/>
                      <a:ext cx="5760720" cy="2624328"/>
                    </a:xfrm>
                    <a:prstGeom prst="rect">
                      <a:avLst/>
                    </a:prstGeom>
                  </pic:spPr>
                </pic:pic>
              </a:graphicData>
            </a:graphic>
          </wp:inline>
        </w:drawing>
      </w:r>
    </w:p>
    <w:p>
      <w:pPr>
        <w:pStyle w:val="Heading3"/>
      </w:pPr>
      <w:r>
        <w:t xml:space="preserve">Figure 4C. BRCA1 regional driver tracks</w:t>
      </w:r>
    </w:p>
    <w:p>
      <w:pPr>
        <w:jc w:val="center"/>
      </w:pPr>
      <w:r>
        <w:drawing>
          <wp:inline distT="0" distB="0" distL="0" distR="0">
            <wp:extent cx="5760720" cy="3047275"/>
            <wp:effectExtent l="0" t="0" r="0" b="0"/>
            <wp:docPr id="112" name="brca1_regional_driver_tracks.svg"/>
            <wp:cNvGraphicFramePr>
              <a:graphicFrameLocks noChangeAspect="1"/>
            </wp:cNvGraphicFramePr>
            <a:graphic>
              <a:graphicData uri="http://schemas.openxmlformats.org/drawingml/2006/picture">
                <pic:pic>
                  <pic:nvPicPr>
                    <pic:cNvPr id="112" name="brca1_regional_driver_tracks.svg"/>
                    <pic:cNvPicPr/>
                  </pic:nvPicPr>
                  <pic:blipFill>
                    <a:blip r:embed="rIdImg12"/>
                    <a:stretch>
                      <a:fillRect/>
                    </a:stretch>
                  </pic:blipFill>
                  <pic:spPr>
                    <a:xfrm>
                      <a:off x="0" y="0"/>
                      <a:ext cx="5760720" cy="3047275"/>
                    </a:xfrm>
                    <a:prstGeom prst="rect">
                      <a:avLst/>
                    </a:prstGeom>
                  </pic:spPr>
                </pic:pic>
              </a:graphicData>
            </a:graphic>
          </wp:inline>
        </w:drawing>
      </w:r>
    </w:p>
    <w:p>
      <w:pPr>
        <w:pStyle w:val="Heading3"/>
      </w:pPr>
      <w:r>
        <w:t xml:space="preserve">Figure 4D. BRCA2 regional driver tracks</w:t>
      </w:r>
    </w:p>
    <w:p>
      <w:pPr>
        <w:jc w:val="center"/>
      </w:pPr>
      <w:r>
        <w:drawing>
          <wp:inline distT="0" distB="0" distL="0" distR="0">
            <wp:extent cx="5760720" cy="1955020"/>
            <wp:effectExtent l="0" t="0" r="0" b="0"/>
            <wp:docPr id="113" name="brca2_regional_driver_tracks.svg"/>
            <wp:cNvGraphicFramePr>
              <a:graphicFrameLocks noChangeAspect="1"/>
            </wp:cNvGraphicFramePr>
            <a:graphic>
              <a:graphicData uri="http://schemas.openxmlformats.org/drawingml/2006/picture">
                <pic:pic>
                  <pic:nvPicPr>
                    <pic:cNvPr id="113" name="brca2_regional_driver_tracks.svg"/>
                    <pic:cNvPicPr/>
                  </pic:nvPicPr>
                  <pic:blipFill>
                    <a:blip r:embed="rIdImg13"/>
                    <a:stretch>
                      <a:fillRect/>
                    </a:stretch>
                  </pic:blipFill>
                  <pic:spPr>
                    <a:xfrm>
                      <a:off x="0" y="0"/>
                      <a:ext cx="5760720" cy="1955020"/>
                    </a:xfrm>
                    <a:prstGeom prst="rect">
                      <a:avLst/>
                    </a:prstGeom>
                  </pic:spPr>
                </pic:pic>
              </a:graphicData>
            </a:graphic>
          </wp:inline>
        </w:drawing>
      </w:r>
    </w:p>
    <w:p>
      <w:pPr>
        <w:pStyle w:val="Heading3"/>
      </w:pPr>
      <w:r>
        <w:t xml:space="preserve">Figure 5A. Variant type and generated grouped class distribution</w:t>
      </w:r>
    </w:p>
    <w:p>
      <w:pPr>
        <w:jc w:val="center"/>
      </w:pPr>
      <w:r>
        <w:drawing>
          <wp:inline distT="0" distB="0" distL="0" distR="0">
            <wp:extent cx="5760720" cy="2254194"/>
            <wp:effectExtent l="0" t="0" r="0" b="0"/>
            <wp:docPr id="114" name="variant_type_grouped_class_stacked.svg"/>
            <wp:cNvGraphicFramePr>
              <a:graphicFrameLocks noChangeAspect="1"/>
            </wp:cNvGraphicFramePr>
            <a:graphic>
              <a:graphicData uri="http://schemas.openxmlformats.org/drawingml/2006/picture">
                <pic:pic>
                  <pic:nvPicPr>
                    <pic:cNvPr id="114" name="variant_type_grouped_class_stacked.svg"/>
                    <pic:cNvPicPr/>
                  </pic:nvPicPr>
                  <pic:blipFill>
                    <a:blip r:embed="rIdImg14"/>
                    <a:stretch>
                      <a:fillRect/>
                    </a:stretch>
                  </pic:blipFill>
                  <pic:spPr>
                    <a:xfrm>
                      <a:off x="0" y="0"/>
                      <a:ext cx="5760720" cy="2254194"/>
                    </a:xfrm>
                    <a:prstGeom prst="rect">
                      <a:avLst/>
                    </a:prstGeom>
                  </pic:spPr>
                </pic:pic>
              </a:graphicData>
            </a:graphic>
          </wp:inline>
        </w:drawing>
      </w:r>
    </w:p>
    <w:p>
      <w:pPr>
        <w:pStyle w:val="Heading3"/>
      </w:pPr>
      <w:r>
        <w:t xml:space="preserve">Figure 5B. Splice driver versus regional pathogenic fraction</w:t>
      </w:r>
    </w:p>
    <w:p>
      <w:pPr>
        <w:jc w:val="center"/>
      </w:pPr>
      <w:r>
        <w:drawing>
          <wp:inline distT="0" distB="0" distL="0" distR="0">
            <wp:extent cx="5760720" cy="4320540"/>
            <wp:effectExtent l="0" t="0" r="0" b="0"/>
            <wp:docPr id="115" name="splice_driver_vs_pathogenic_fraction.svg"/>
            <wp:cNvGraphicFramePr>
              <a:graphicFrameLocks noChangeAspect="1"/>
            </wp:cNvGraphicFramePr>
            <a:graphic>
              <a:graphicData uri="http://schemas.openxmlformats.org/drawingml/2006/picture">
                <pic:pic>
                  <pic:nvPicPr>
                    <pic:cNvPr id="115" name="splice_driver_vs_pathogenic_fraction.svg"/>
                    <pic:cNvPicPr/>
                  </pic:nvPicPr>
                  <pic:blipFill>
                    <a:blip r:embed="rIdImg15"/>
                    <a:stretch>
                      <a:fillRect/>
                    </a:stretch>
                  </pic:blipFill>
                  <pic:spPr>
                    <a:xfrm>
                      <a:off x="0" y="0"/>
                      <a:ext cx="5760720" cy="4320540"/>
                    </a:xfrm>
                    <a:prstGeom prst="rect">
                      <a:avLst/>
                    </a:prstGeom>
                  </pic:spPr>
                </pic:pic>
              </a:graphicData>
            </a:graphic>
          </wp:inline>
        </w:drawing>
      </w:r>
    </w:p>
    <w:p>
      <w:pPr>
        <w:pStyle w:val="Heading3"/>
      </w:pPr>
      <w:r>
        <w:t xml:space="preserve">Figure 5C. Functional evidence versus regional pathogenic fraction</w:t>
      </w:r>
    </w:p>
    <w:p>
      <w:pPr>
        <w:jc w:val="center"/>
      </w:pPr>
      <w:r>
        <w:drawing>
          <wp:inline distT="0" distB="0" distL="0" distR="0">
            <wp:extent cx="5760720" cy="4320540"/>
            <wp:effectExtent l="0" t="0" r="0" b="0"/>
            <wp:docPr id="116" name="functional_driver_vs_pathogenic_fraction.svg"/>
            <wp:cNvGraphicFramePr>
              <a:graphicFrameLocks noChangeAspect="1"/>
            </wp:cNvGraphicFramePr>
            <a:graphic>
              <a:graphicData uri="http://schemas.openxmlformats.org/drawingml/2006/picture">
                <pic:pic>
                  <pic:nvPicPr>
                    <pic:cNvPr id="116" name="functional_driver_vs_pathogenic_fraction.svg"/>
                    <pic:cNvPicPr/>
                  </pic:nvPicPr>
                  <pic:blipFill>
                    <a:blip r:embed="rIdImg16"/>
                    <a:stretch>
                      <a:fillRect/>
                    </a:stretch>
                  </pic:blipFill>
                  <pic:spPr>
                    <a:xfrm>
                      <a:off x="0" y="0"/>
                      <a:ext cx="5760720" cy="4320540"/>
                    </a:xfrm>
                    <a:prstGeom prst="rect">
                      <a:avLst/>
                    </a:prstGeom>
                  </pic:spPr>
                </pic:pic>
              </a:graphicData>
            </a:graphic>
          </wp:inline>
        </w:drawing>
      </w:r>
    </w:p>
    <w:p>
      <w:pPr>
        <w:pStyle w:val="Heading3"/>
      </w:pPr>
      <w:r>
        <w:t xml:space="preserve">Figure 5D. Mixed positions and codons after driver exclusions</w:t>
      </w:r>
    </w:p>
    <w:p>
      <w:pPr>
        <w:jc w:val="center"/>
      </w:pPr>
      <w:r>
        <w:drawing>
          <wp:inline distT="0" distB="0" distL="0" distR="0">
            <wp:extent cx="5760720" cy="2468880"/>
            <wp:effectExtent l="0" t="0" r="0" b="0"/>
            <wp:docPr id="117" name="mixed_position_codon_driver_ablation.svg"/>
            <wp:cNvGraphicFramePr>
              <a:graphicFrameLocks noChangeAspect="1"/>
            </wp:cNvGraphicFramePr>
            <a:graphic>
              <a:graphicData uri="http://schemas.openxmlformats.org/drawingml/2006/picture">
                <pic:pic>
                  <pic:nvPicPr>
                    <pic:cNvPr id="117" name="mixed_position_codon_driver_ablation.svg"/>
                    <pic:cNvPicPr/>
                  </pic:nvPicPr>
                  <pic:blipFill>
                    <a:blip r:embed="rIdImg17"/>
                    <a:stretch>
                      <a:fillRect/>
                    </a:stretch>
                  </pic:blipFill>
                  <pic:spPr>
                    <a:xfrm>
                      <a:off x="0" y="0"/>
                      <a:ext cx="5760720" cy="2468880"/>
                    </a:xfrm>
                    <a:prstGeom prst="rect">
                      <a:avLst/>
                    </a:prstGeom>
                  </pic:spPr>
                </pic:pic>
              </a:graphicData>
            </a:graphic>
          </wp:inline>
        </w:drawing>
      </w:r>
    </w:p>
    <w:p>
      <w:pPr>
        <w:pStyle w:val="Heading3"/>
      </w:pPr>
      <w:r>
        <w:t xml:space="preserve">Figure 6. VUS bottleneck categories</w:t>
      </w:r>
    </w:p>
    <w:p>
      <w:pPr>
        <w:jc w:val="center"/>
      </w:pPr>
      <w:r>
        <w:drawing>
          <wp:inline distT="0" distB="0" distL="0" distR="0">
            <wp:extent cx="5760720" cy="2040661"/>
            <wp:effectExtent l="0" t="0" r="0" b="0"/>
            <wp:docPr id="118" name="vus_bottleneck_categories.svg"/>
            <wp:cNvGraphicFramePr>
              <a:graphicFrameLocks noChangeAspect="1"/>
            </wp:cNvGraphicFramePr>
            <a:graphic>
              <a:graphicData uri="http://schemas.openxmlformats.org/drawingml/2006/picture">
                <pic:pic>
                  <pic:nvPicPr>
                    <pic:cNvPr id="118" name="vus_bottleneck_categories.svg"/>
                    <pic:cNvPicPr/>
                  </pic:nvPicPr>
                  <pic:blipFill>
                    <a:blip r:embed="rIdImg18"/>
                    <a:stretch>
                      <a:fillRect/>
                    </a:stretch>
                  </pic:blipFill>
                  <pic:spPr>
                    <a:xfrm>
                      <a:off x="0" y="0"/>
                      <a:ext cx="5760720" cy="2040661"/>
                    </a:xfrm>
                    <a:prstGeom prst="rect">
                      <a:avLst/>
                    </a:prstGeom>
                  </pic:spPr>
                </pic:pic>
              </a:graphicData>
            </a:graphic>
          </wp:inline>
        </w:drawing>
      </w:r>
    </w:p>
    <w:p>
      <w:pPr>
        <w:pStyle w:val="Heading3"/>
      </w:pPr>
      <w:r>
        <w:t xml:space="preserve">Figure 7A. Benign versus pathogenic feature rates</w:t>
      </w:r>
    </w:p>
    <w:p>
      <w:pPr>
        <w:jc w:val="center"/>
      </w:pPr>
      <w:r>
        <w:drawing>
          <wp:inline distT="0" distB="0" distL="0" distR="0">
            <wp:extent cx="5760720" cy="1896237"/>
            <wp:effectExtent l="0" t="0" r="0" b="0"/>
            <wp:docPr id="119" name="benign_vs_pathogenic_feature_comparison.svg"/>
            <wp:cNvGraphicFramePr>
              <a:graphicFrameLocks noChangeAspect="1"/>
            </wp:cNvGraphicFramePr>
            <a:graphic>
              <a:graphicData uri="http://schemas.openxmlformats.org/drawingml/2006/picture">
                <pic:pic>
                  <pic:nvPicPr>
                    <pic:cNvPr id="119" name="benign_vs_pathogenic_feature_comparison.svg"/>
                    <pic:cNvPicPr/>
                  </pic:nvPicPr>
                  <pic:blipFill>
                    <a:blip r:embed="rIdImg19"/>
                    <a:stretch>
                      <a:fillRect/>
                    </a:stretch>
                  </pic:blipFill>
                  <pic:spPr>
                    <a:xfrm>
                      <a:off x="0" y="0"/>
                      <a:ext cx="5760720" cy="1896237"/>
                    </a:xfrm>
                    <a:prstGeom prst="rect">
                      <a:avLst/>
                    </a:prstGeom>
                  </pic:spPr>
                </pic:pic>
              </a:graphicData>
            </a:graphic>
          </wp:inline>
        </w:drawing>
      </w:r>
    </w:p>
    <w:p>
      <w:pPr>
        <w:pStyle w:val="Heading3"/>
      </w:pPr>
      <w:r>
        <w:t xml:space="preserve">Figure 7B. Benign counterexample tiers</w:t>
      </w:r>
    </w:p>
    <w:p>
      <w:pPr>
        <w:jc w:val="center"/>
      </w:pPr>
      <w:r>
        <w:drawing>
          <wp:inline distT="0" distB="0" distL="0" distR="0">
            <wp:extent cx="5760720" cy="1213866"/>
            <wp:effectExtent l="0" t="0" r="0" b="0"/>
            <wp:docPr id="120" name="tier_summary.svg"/>
            <wp:cNvGraphicFramePr>
              <a:graphicFrameLocks noChangeAspect="1"/>
            </wp:cNvGraphicFramePr>
            <a:graphic>
              <a:graphicData uri="http://schemas.openxmlformats.org/drawingml/2006/picture">
                <pic:pic>
                  <pic:nvPicPr>
                    <pic:cNvPr id="120" name="tier_summary.svg"/>
                    <pic:cNvPicPr/>
                  </pic:nvPicPr>
                  <pic:blipFill>
                    <a:blip r:embed="rIdImg20"/>
                    <a:stretch>
                      <a:fillRect/>
                    </a:stretch>
                  </pic:blipFill>
                  <pic:spPr>
                    <a:xfrm>
                      <a:off x="0" y="0"/>
                      <a:ext cx="5760720" cy="1213866"/>
                    </a:xfrm>
                    <a:prstGeom prst="rect">
                      <a:avLst/>
                    </a:prstGeom>
                  </pic:spPr>
                </pic:pic>
              </a:graphicData>
            </a:graphic>
          </wp:inline>
        </w:drawing>
      </w:r>
    </w:p>
    <w:p>
      <w:pPr>
        <w:pStyle w:val="Heading3"/>
      </w:pPr>
      <w:r>
        <w:t xml:space="preserve">Figure 7C. BS3 benign variants by domain and mechanism</w:t>
      </w:r>
    </w:p>
    <w:p>
      <w:pPr>
        <w:jc w:val="center"/>
      </w:pPr>
      <w:r>
        <w:drawing>
          <wp:inline distT="0" distB="0" distL="0" distR="0">
            <wp:extent cx="5760720" cy="1792775"/>
            <wp:effectExtent l="0" t="0" r="0" b="0"/>
            <wp:docPr id="121" name="domain_mechanism_stacked.svg"/>
            <wp:cNvGraphicFramePr>
              <a:graphicFrameLocks noChangeAspect="1"/>
            </wp:cNvGraphicFramePr>
            <a:graphic>
              <a:graphicData uri="http://schemas.openxmlformats.org/drawingml/2006/picture">
                <pic:pic>
                  <pic:nvPicPr>
                    <pic:cNvPr id="121" name="domain_mechanism_stacked.svg"/>
                    <pic:cNvPicPr/>
                  </pic:nvPicPr>
                  <pic:blipFill>
                    <a:blip r:embed="rIdImg21"/>
                    <a:stretch>
                      <a:fillRect/>
                    </a:stretch>
                  </pic:blipFill>
                  <pic:spPr>
                    <a:xfrm>
                      <a:off x="0" y="0"/>
                      <a:ext cx="5760720" cy="1792775"/>
                    </a:xfrm>
                    <a:prstGeom prst="rect">
                      <a:avLst/>
                    </a:prstGeom>
                  </pic:spPr>
                </pic:pic>
              </a:graphicData>
            </a:graphic>
          </wp:inline>
        </w:drawing>
      </w:r>
    </w:p>
    <w:sectPr>
      <w:pgSz w:w="12240" w:h="15840"/>
      <w:pgMar w:top="1080" w:right="900" w:bottom="1080" w:left="900" w:header="720" w:footer="720" w:gutter="0"/>
    </w:sectPr>
  </w:body>
</w:document>
</file>

<file path=word/styles.xml><?xml version="1.0" encoding="utf-8"?>
<w:styles xmlns:w="http://schemas.openxmlformats.org/wordprocessingml/2006/main">
  <w:style w:type="paragraph" w:default="1" w:styleId="Normal">
    <w:name w:val="Normal"/>
    <w:qFormat/>
    <w:rPr>
      <w:sz w:val="22"/>
      <w:szCs w:val="22"/>
    </w:rPr>
  </w:style>
  <w:style w:type="paragraph" w:styleId="Title">
    <w:name w:val="Title"/>
    <w:qFormat/>
    <w:rPr>
      <w:b/>
      <w:sz w:val="34"/>
    </w:rPr>
  </w:style>
  <w:style w:type="paragraph" w:styleId="Heading2">
    <w:name w:val="heading 2"/>
    <w:qFormat/>
    <w:rPr>
      <w:b/>
      <w:sz w:val="28"/>
    </w:rPr>
  </w:style>
  <w:style w:type="paragraph" w:styleId="Heading3">
    <w:name w:val="heading 3"/>
    <w:qFormat/>
    <w:rPr>
      <w:b/>
      <w:sz w:val="24"/>
    </w:rPr>
  </w:style>
  <w:style w:type="paragraph" w:styleId="ListBullet">
    <w:name w:val="List Bullet"/>
    <w:qFormat/>
  </w:style>
  <w:style w:type="paragraph" w:styleId="ListNumber">
    <w:name w:val="List Number"/>
    <w:qFormat/>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Img1" Type="http://schemas.openxmlformats.org/officeDocument/2006/relationships/image" Target="media/vus_priority_score_histogram.svg"/><Relationship Id="rIdImg2" Type="http://schemas.openxmlformats.org/officeDocument/2006/relationships/image" Target="media/vus_priority_reason_counts.svg"/><Relationship Id="rIdImg3" Type="http://schemas.openxmlformats.org/officeDocument/2006/relationships/image" Target="media/neighborhood_increment_summary.svg"/><Relationship Id="rIdImg4" Type="http://schemas.openxmlformats.org/officeDocument/2006/relationships/image" Target="media/tier_transition_without_neighborhood.svg"/><Relationship Id="rIdImg5" Type="http://schemas.openxmlformats.org/officeDocument/2006/relationships/image" Target="media/vus_pathogenic_region_summary.svg"/><Relationship Id="rIdImg6" Type="http://schemas.openxmlformats.org/officeDocument/2006/relationships/image" Target="media/vus_pathogenic_vs_benign_neighborhood_20bp.svg"/><Relationship Id="rIdImg7" Type="http://schemas.openxmlformats.org/officeDocument/2006/relationships/image" Target="media/vus_pathogenic_vs_benign_neighborhood_50bp.svg"/><Relationship Id="rIdImg8" Type="http://schemas.openxmlformats.org/officeDocument/2006/relationships/image" Target="media/brca1_brct1_mixed_cluster_class_profile.svg"/><Relationship Id="rIdImg9" Type="http://schemas.openxmlformats.org/officeDocument/2006/relationships/image" Target="media/position_is_not_variant_context_is_not_evidence.svg"/><Relationship Id="rIdImg10" Type="http://schemas.openxmlformats.org/officeDocument/2006/relationships/image" Target="media/regional_signal_categories.svg"/><Relationship Id="rIdImg11" Type="http://schemas.openxmlformats.org/officeDocument/2006/relationships/image" Target="media/pathogenic_fraction_driver_ablation.svg"/><Relationship Id="rIdImg12" Type="http://schemas.openxmlformats.org/officeDocument/2006/relationships/image" Target="media/brca1_regional_driver_tracks.svg"/><Relationship Id="rIdImg13" Type="http://schemas.openxmlformats.org/officeDocument/2006/relationships/image" Target="media/brca2_regional_driver_tracks.svg"/><Relationship Id="rIdImg14" Type="http://schemas.openxmlformats.org/officeDocument/2006/relationships/image" Target="media/variant_type_grouped_class_stacked.svg"/><Relationship Id="rIdImg15" Type="http://schemas.openxmlformats.org/officeDocument/2006/relationships/image" Target="media/splice_driver_vs_pathogenic_fraction.svg"/><Relationship Id="rIdImg16" Type="http://schemas.openxmlformats.org/officeDocument/2006/relationships/image" Target="media/functional_driver_vs_pathogenic_fraction.svg"/><Relationship Id="rIdImg17" Type="http://schemas.openxmlformats.org/officeDocument/2006/relationships/image" Target="media/mixed_position_codon_driver_ablation.svg"/><Relationship Id="rIdImg18" Type="http://schemas.openxmlformats.org/officeDocument/2006/relationships/image" Target="media/vus_bottleneck_categories.svg"/><Relationship Id="rIdImg19" Type="http://schemas.openxmlformats.org/officeDocument/2006/relationships/image" Target="media/benign_vs_pathogenic_feature_comparison.svg"/><Relationship Id="rIdImg20" Type="http://schemas.openxmlformats.org/officeDocument/2006/relationships/image" Target="media/tier_summary.svg"/><Relationship Id="rIdImg21" Type="http://schemas.openxmlformats.org/officeDocument/2006/relationships/image" Target="media/domain_mechanism_stacked.svg"/></Relationships>
</file>