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Prioritizing BRCA1/2 VUS Candidates For Manual Review From An Automated Module 1 Landscape</w:t>
      </w:r>
    </w:p>
    <w:p>
      <w:pPr>
        <w:pStyle w:val="Heading2"/>
      </w:pPr>
      <w:r>
        <w:t xml:space="preserve">Working Title</w:t>
      </w:r>
    </w:p>
    <w:p>
      <w:r>
        <w:t xml:space="preserve">Prioritizing BRCA1/2 variants of uncertain significance for manual review using structured evidence patterns from an automated ENIGMA/ACMG Module 1 snapshot</w:t>
      </w:r>
    </w:p>
    <w:p>
      <w:pPr>
        <w:pStyle w:val="Heading2"/>
      </w:pPr>
      <w:r>
        <w:t xml:space="preserve">Short Summary</w:t>
      </w:r>
    </w:p>
    <w:p>
      <w:r>
        <w:t xml:space="preserve">This mini article describes an exploratory framework for selecting BRCA1/2 VUS candidates that deserve earlier manual review. The framework does not predict pathogenicity and does not reclassify variants. It uses the generated ARIANE Module 1 coding SNV landscape to identify VUS with stronger review signals: SpliceAI signal, proximity to exon boundaries, local pathogenic density, evidence combinations that nearly satisfy ENIGMA rules, structural/domain context, and evidence conflicts such as BS3+PP3.</w:t>
      </w:r>
    </w:p>
    <w:p>
      <w:r>
        <w:t xml:space="preserve">The output is a ranked curation queue, not a clinical classification.</w:t>
      </w:r>
    </w:p>
    <w:p>
      <w:pPr>
        <w:pStyle w:val="Heading2"/>
      </w:pPr>
      <w:r>
        <w:t xml:space="preserve">Background</w:t>
      </w:r>
    </w:p>
    <w:p>
      <w:r>
        <w:t xml:space="preserve">Variants of uncertain significance remain a major practical problem in BRCA1/2 interpretation. Even when a rule-based framework is available, only part of the ACMG/ENIGMA evidence set can be automated reliably. In our ARIANE application, the current automated part corresponds to Module 1: criteria that can be applied from structured inputs and precomputed resources. Non-automated evidence, such as segregation, case-control data, trans observations, expert clinical review, and some curated functional/RNA interpretations, still requires manual curation.</w:t>
      </w:r>
    </w:p>
    <w:p>
      <w:r>
        <w:t xml:space="preserve">Therefore, the automated system naturally produces a large and heterogeneous VUS set. These VUS are not equivalent. Some have little information beyond population absence. Others are close to a likely pathogenic or likely benign combination but are missing one accepted evidence item. A practical curation tool should help identify which VUS are worth opening first.</w:t>
      </w:r>
    </w:p>
    <w:p>
      <w:pPr>
        <w:pStyle w:val="Heading2"/>
      </w:pPr>
      <w:r>
        <w:t xml:space="preserve">Aim</w:t>
      </w:r>
    </w:p>
    <w:p>
      <w:r>
        <w:t xml:space="preserve">The aim was to build an exploratory triage framework for BRCA1/2 VUS candidates from the ARIANE Module 1 snapshot.</w:t>
      </w:r>
    </w:p>
    <w:p>
      <w:r>
        <w:t xml:space="preserve">The framework asks:</w:t>
      </w:r>
    </w:p>
    <w:p>
      <w:pPr>
        <w:pStyle w:val="ListBullet"/>
        <w:ind w:left="720" w:hanging="360"/>
      </w:pPr>
      <w:r>
        <w:t xml:space="preserve">Which VUS have evidence patterns suggesting that manual review may be</w:t>
      </w:r>
    </w:p>
    <w:p>
      <w:r>
        <w:t xml:space="preserve">informative?</w:t>
      </w:r>
    </w:p>
    <w:p>
      <w:pPr>
        <w:pStyle w:val="ListBullet"/>
        <w:ind w:left="720" w:hanging="360"/>
      </w:pPr>
      <w:r>
        <w:t xml:space="preserve">Which VUS are located in neighborhoods enriched for generated pathogenic</w:t>
      </w:r>
    </w:p>
    <w:p>
      <w:r>
        <w:t xml:space="preserve">variants?</w:t>
      </w:r>
    </w:p>
    <w:p>
      <w:pPr>
        <w:pStyle w:val="ListBullet"/>
        <w:ind w:left="720" w:hanging="360"/>
      </w:pPr>
      <w:r>
        <w:t xml:space="preserve">Which VUS are closer to generated pathogenic than benign variants?</w:t>
      </w:r>
    </w:p>
    <w:p>
      <w:pPr>
        <w:pStyle w:val="ListBullet"/>
        <w:ind w:left="720" w:hanging="360"/>
      </w:pPr>
      <w:r>
        <w:t xml:space="preserve">Which VUS fall in functionally important protein regions?</w:t>
      </w:r>
    </w:p>
    <w:p>
      <w:pPr>
        <w:pStyle w:val="ListBullet"/>
        <w:ind w:left="720" w:hanging="360"/>
      </w:pPr>
      <w:r>
        <w:t xml:space="preserve">Which apparent signals are weakened by benign counterexamples or conflicting</w:t>
      </w:r>
    </w:p>
    <w:p>
      <w:r>
        <w:t xml:space="preserve">evidence?</w:t>
      </w:r>
    </w:p>
    <w:p>
      <w:r>
        <w:t xml:space="preserve">The framework explicitly does not ask:</w:t>
      </w:r>
    </w:p>
    <w:p>
      <w:pPr>
        <w:pStyle w:val="ListBullet"/>
        <w:ind w:left="720" w:hanging="360"/>
      </w:pPr>
      <w:r>
        <w:t xml:space="preserve">Is this VUS pathogenic?</w:t>
      </w:r>
    </w:p>
    <w:p>
      <w:pPr>
        <w:pStyle w:val="ListBullet"/>
        <w:ind w:left="720" w:hanging="360"/>
      </w:pPr>
      <w:r>
        <w:t xml:space="preserve">Should the VUS be upgraded automatically?</w:t>
      </w:r>
    </w:p>
    <w:p>
      <w:pPr>
        <w:pStyle w:val="ListBullet"/>
        <w:ind w:left="720" w:hanging="360"/>
      </w:pPr>
      <w:r>
        <w:t xml:space="preserve">Can domain membership be used as an ACMG/ENIGMA criterion?</w:t>
      </w:r>
    </w:p>
    <w:p>
      <w:pPr>
        <w:pStyle w:val="Heading2"/>
      </w:pPr>
      <w:r>
        <w:t xml:space="preserve">Dataset Generation</w:t>
      </w:r>
    </w:p>
    <w:p>
      <w:r>
        <w:t xml:space="preserve">The starting point was the full precomputed BRCA1/2 coding SNV classification snapshot:</w:t>
      </w:r>
    </w:p>
    <w:p>
      <w:r>
        <w:t xml:space="preserve">variant_space_scan/outputs/brca_module1_full_snv_classification.csv</w:t>
      </w:r>
    </w:p>
    <w:p>
      <w:r>
        <w:t xml:space="preserve">This snapshot was generated by applying the current ARIANE automated Module 1 rules to coding SNVs in BRCA1 and BRCA2. The snapshot includes:</w:t>
      </w:r>
    </w:p>
    <w:p>
      <w:pPr>
        <w:pStyle w:val="ListBullet"/>
        <w:ind w:left="720" w:hanging="360"/>
      </w:pPr>
      <w:r>
        <w:t xml:space="preserve">gene and HGVS c./p. notation</w:t>
      </w:r>
    </w:p>
    <w:p>
      <w:pPr>
        <w:pStyle w:val="ListBullet"/>
        <w:ind w:left="720" w:hanging="360"/>
      </w:pPr>
      <w:r>
        <w:t xml:space="preserve">variant type</w:t>
      </w:r>
    </w:p>
    <w:p>
      <w:pPr>
        <w:pStyle w:val="ListBullet"/>
        <w:ind w:left="720" w:hanging="360"/>
      </w:pPr>
      <w:r>
        <w:t xml:space="preserve">SpliceAI score from the local SpliceAI cache</w:t>
      </w:r>
    </w:p>
    <w:p>
      <w:pPr>
        <w:pStyle w:val="ListBullet"/>
        <w:ind w:left="720" w:hanging="360"/>
      </w:pPr>
      <w:r>
        <w:t xml:space="preserve">population-frequency status from the local gnomAD cache</w:t>
      </w:r>
    </w:p>
    <w:p>
      <w:pPr>
        <w:pStyle w:val="ListBullet"/>
        <w:ind w:left="720" w:hanging="360"/>
      </w:pPr>
      <w:r>
        <w:t xml:space="preserve">applied automated ACMG/ENIGMA criteria</w:t>
      </w:r>
    </w:p>
    <w:p>
      <w:pPr>
        <w:pStyle w:val="ListBullet"/>
        <w:ind w:left="720" w:hanging="360"/>
      </w:pPr>
      <w:r>
        <w:t xml:space="preserve">total point score</w:t>
      </w:r>
    </w:p>
    <w:p>
      <w:pPr>
        <w:pStyle w:val="ListBullet"/>
        <w:ind w:left="720" w:hanging="360"/>
      </w:pPr>
      <w:r>
        <w:t xml:space="preserve">generated class 1 to 5 output</w:t>
      </w:r>
    </w:p>
    <w:p>
      <w:pPr>
        <w:pStyle w:val="ListBullet"/>
        <w:ind w:left="720" w:hanging="360"/>
      </w:pPr>
      <w:r>
        <w:t xml:space="preserve">warnings and notes about non-automated criteria</w:t>
      </w:r>
    </w:p>
    <w:p>
      <w:r>
        <w:t xml:space="preserve">The analysis was limited to coding SNVs. It does not include indels, multi-exon CNVs, deep intronic variants, promoter variants, UTR variants, or other noncoding variant classes.</w:t>
      </w:r>
    </w:p>
    <w:p>
      <w:pPr>
        <w:pStyle w:val="Heading2"/>
      </w:pPr>
      <w:r>
        <w:t xml:space="preserve">Important Interpretation Boundary</w:t>
      </w:r>
    </w:p>
    <w:p>
      <w:r>
        <w:t xml:space="preserve">All analyses in this article describe patterns in the generated ARIANE Module 1 snapshot. They do not create independent clinical truth.</w:t>
      </w:r>
    </w:p>
    <w:p>
      <w:r>
        <w:t xml:space="preserve">Terms such as pathogenic density, pathogenic neighborhood, domain enrichment, or high-priority VUS mean that a variant is interesting for manual review within this generated landscape. They do not mean that the variant is pathogenic.</w:t>
      </w:r>
    </w:p>
    <w:p>
      <w:pPr>
        <w:pStyle w:val="Heading2"/>
      </w:pPr>
      <w:r>
        <w:t xml:space="preserve">Methods</w:t>
      </w:r>
    </w:p>
    <w:p>
      <w:pPr>
        <w:pStyle w:val="Heading3"/>
      </w:pPr>
      <w:r>
        <w:t xml:space="preserve">VUS Selection</w:t>
      </w:r>
    </w:p>
    <w:p>
      <w:r>
        <w:t xml:space="preserve">Variants classified as class 3 by the automated Module 1 snapshot were selected as VUS. In the current snapshot, the VUS set contained:</w:t>
      </w:r>
    </w:p>
    <w:p>
      <w:pPr>
        <w:pStyle w:val="ListBullet"/>
        <w:ind w:left="720" w:hanging="360"/>
      </w:pPr>
      <w:r>
        <w:t xml:space="preserve">total VUS: 8154</w:t>
      </w:r>
    </w:p>
    <w:p>
      <w:r>
        <w:t xml:space="preserve">Each VUS was annotated with:</w:t>
      </w:r>
    </w:p>
    <w:p>
      <w:pPr>
        <w:pStyle w:val="ListBullet"/>
        <w:ind w:left="720" w:hanging="360"/>
      </w:pPr>
      <w:r>
        <w:t xml:space="preserve">CDS position</w:t>
      </w:r>
    </w:p>
    <w:p>
      <w:pPr>
        <w:pStyle w:val="ListBullet"/>
        <w:ind w:left="720" w:hanging="360"/>
      </w:pPr>
      <w:r>
        <w:t xml:space="preserve">CDS exon</w:t>
      </w:r>
    </w:p>
    <w:p>
      <w:pPr>
        <w:pStyle w:val="ListBullet"/>
        <w:ind w:left="720" w:hanging="360"/>
      </w:pPr>
      <w:r>
        <w:t xml:space="preserve">distance to the nearest CDS exon boundary</w:t>
      </w:r>
    </w:p>
    <w:p>
      <w:pPr>
        <w:pStyle w:val="ListBullet"/>
        <w:ind w:left="720" w:hanging="360"/>
      </w:pPr>
      <w:r>
        <w:t xml:space="preserve">SpliceAI score</w:t>
      </w:r>
    </w:p>
    <w:p>
      <w:pPr>
        <w:pStyle w:val="ListBullet"/>
        <w:ind w:left="720" w:hanging="360"/>
      </w:pPr>
      <w:r>
        <w:t xml:space="preserve">applied criteria</w:t>
      </w:r>
    </w:p>
    <w:p>
      <w:pPr>
        <w:pStyle w:val="ListBullet"/>
        <w:ind w:left="720" w:hanging="360"/>
      </w:pPr>
      <w:r>
        <w:t xml:space="preserve">local counts of nearby benign, VUS, and pathogenic generated variants</w:t>
      </w:r>
    </w:p>
    <w:p>
      <w:pPr>
        <w:pStyle w:val="ListBullet"/>
        <w:ind w:left="720" w:hanging="360"/>
      </w:pPr>
      <w:r>
        <w:t xml:space="preserve">review category</w:t>
      </w:r>
    </w:p>
    <w:p>
      <w:pPr>
        <w:pStyle w:val="ListBullet"/>
        <w:ind w:left="720" w:hanging="360"/>
      </w:pPr>
      <w:r>
        <w:t xml:space="preserve">priority score</w:t>
      </w:r>
    </w:p>
    <w:p>
      <w:pPr>
        <w:pStyle w:val="Heading3"/>
      </w:pPr>
      <w:r>
        <w:t xml:space="preserve">Review Priority Score</w:t>
      </w:r>
    </w:p>
    <w:p>
      <w:r>
        <w:t xml:space="preserve">A heuristic review score was assigned to each VUS. The score is not a classifier. It is a practical sorting key for manual review.</w:t>
      </w:r>
    </w:p>
    <w:p>
      <w:r>
        <w:t xml:space="preserve">Signals that increase priority include:</w:t>
      </w:r>
    </w:p>
    <w:p>
      <w:pPr>
        <w:pStyle w:val="ListBullet"/>
        <w:ind w:left="720" w:hanging="360"/>
      </w:pPr>
      <w:r>
        <w:t xml:space="preserve">SpliceAI &gt;= 0.20</w:t>
      </w:r>
    </w:p>
    <w:p>
      <w:pPr>
        <w:pStyle w:val="ListBullet"/>
        <w:ind w:left="720" w:hanging="360"/>
      </w:pPr>
      <w:r>
        <w:t xml:space="preserve">SpliceAI &gt;= 0.10</w:t>
      </w:r>
    </w:p>
    <w:p>
      <w:pPr>
        <w:pStyle w:val="ListBullet"/>
        <w:ind w:left="720" w:hanging="360"/>
      </w:pPr>
      <w:r>
        <w:t xml:space="preserve">distance &lt;= 2 bp or &lt;= 10 bp from a CDS exon boundary</w:t>
      </w:r>
    </w:p>
    <w:p>
      <w:pPr>
        <w:pStyle w:val="ListBullet"/>
        <w:ind w:left="720" w:hanging="360"/>
      </w:pPr>
      <w:r>
        <w:t xml:space="preserve">applied PP3, PS3, PS1, PVS1, PP4, or BS3</w:t>
      </w:r>
    </w:p>
    <w:p>
      <w:pPr>
        <w:pStyle w:val="ListBullet"/>
        <w:ind w:left="720" w:hanging="360"/>
      </w:pPr>
      <w:r>
        <w:t xml:space="preserve">local pathogenic density</w:t>
      </w:r>
    </w:p>
    <w:p>
      <w:pPr>
        <w:pStyle w:val="ListBullet"/>
        <w:ind w:left="720" w:hanging="360"/>
      </w:pPr>
      <w:r>
        <w:t xml:space="preserve">high SpliceAI inside a benign-dense region, as a sanity-check signal</w:t>
      </w:r>
    </w:p>
    <w:p>
      <w:r>
        <w:t xml:space="preserve">The resulting tiers were: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t xml:space="preserve">Tier</w:t>
            </w:r>
          </w:p>
        </w:tc>
        <w:tc>
          <w:tcPr>
            <w:tcW w:w="2400" w:type="dxa"/>
            <w:shd w:fill="EDEDED"/>
          </w:tcPr>
          <w:p>
            <w:r>
              <w:t xml:space="preserve">Count</w:t>
            </w:r>
          </w:p>
        </w:tc>
      </w:tr>
      <w:tr>
        <w:tc>
          <w:tcPr>
            <w:tcW w:w="2400" w:type="dxa"/>
          </w:tcPr>
          <w:p>
            <w:r>
              <w:t xml:space="preserve">tier1_urgent</w:t>
            </w:r>
          </w:p>
        </w:tc>
        <w:tc>
          <w:tcPr>
            <w:tcW w:w="2400" w:type="dxa"/>
          </w:tcPr>
          <w:p>
            <w:r>
              <w:t xml:space="preserve">99</w:t>
            </w:r>
          </w:p>
        </w:tc>
      </w:tr>
      <w:tr>
        <w:tc>
          <w:tcPr>
            <w:tcW w:w="2400" w:type="dxa"/>
          </w:tcPr>
          <w:p>
            <w:r>
              <w:t xml:space="preserve">tier2_high</w:t>
            </w:r>
          </w:p>
        </w:tc>
        <w:tc>
          <w:tcPr>
            <w:tcW w:w="2400" w:type="dxa"/>
          </w:tcPr>
          <w:p>
            <w:r>
              <w:t xml:space="preserve">760</w:t>
            </w:r>
          </w:p>
        </w:tc>
      </w:tr>
      <w:tr>
        <w:tc>
          <w:tcPr>
            <w:tcW w:w="2400" w:type="dxa"/>
          </w:tcPr>
          <w:p>
            <w:r>
              <w:t xml:space="preserve">tier3_medium</w:t>
            </w:r>
          </w:p>
        </w:tc>
        <w:tc>
          <w:tcPr>
            <w:tcW w:w="2400" w:type="dxa"/>
          </w:tcPr>
          <w:p>
            <w:r>
              <w:t xml:space="preserve">733</w:t>
            </w:r>
          </w:p>
        </w:tc>
      </w:tr>
      <w:tr>
        <w:tc>
          <w:tcPr>
            <w:tcW w:w="2400" w:type="dxa"/>
          </w:tcPr>
          <w:p>
            <w:r>
              <w:t xml:space="preserve">tier4_low</w:t>
            </w:r>
          </w:p>
        </w:tc>
        <w:tc>
          <w:tcPr>
            <w:tcW w:w="2400" w:type="dxa"/>
          </w:tcPr>
          <w:p>
            <w:r>
              <w:t xml:space="preserve">6562</w:t>
            </w:r>
          </w:p>
        </w:tc>
      </w:tr>
    </w:tbl>
    <w:p>
      <w:r>
        <w:t xml:space="preserve">The practical first-pass review list is therefore not all VUS, but primarily the tier1_urgent and tier2_high groups.</w:t>
      </w:r>
    </w:p>
    <w:p>
      <w:pPr>
        <w:pStyle w:val="Heading3"/>
      </w:pPr>
      <w:r>
        <w:t xml:space="preserve">VUS Bottleneck Analysis</w:t>
      </w:r>
    </w:p>
    <w:p>
      <w:r>
        <w:t xml:space="preserve">VUS were grouped by the reason they remained uncertain. The major bottlenecks were: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t xml:space="preserve">Bottleneck</w:t>
            </w:r>
          </w:p>
        </w:tc>
        <w:tc>
          <w:tcPr>
            <w:tcW w:w="2400" w:type="dxa"/>
            <w:shd w:fill="EDEDED"/>
          </w:tcPr>
          <w:p>
            <w:r>
              <w:t xml:space="preserve">Count</w:t>
            </w:r>
          </w:p>
        </w:tc>
        <w:tc>
          <w:tcPr>
            <w:tcW w:w="2400" w:type="dxa"/>
            <w:shd w:fill="EDEDED"/>
          </w:tcPr>
          <w:p>
            <w:r>
              <w:t xml:space="preserve">Interpretation</w:t>
            </w:r>
          </w:p>
        </w:tc>
      </w:tr>
      <w:tr>
        <w:tc>
          <w:tcPr>
            <w:tcW w:w="2400" w:type="dxa"/>
          </w:tcPr>
          <w:p>
            <w:r>
              <w:t xml:space="preserve">PM2_only</w:t>
            </w:r>
          </w:p>
        </w:tc>
        <w:tc>
          <w:tcPr>
            <w:tcW w:w="2400" w:type="dxa"/>
          </w:tcPr>
          <w:p>
            <w:r>
              <w:t xml:space="preserve">5046</w:t>
            </w:r>
          </w:p>
        </w:tc>
        <w:tc>
          <w:tcPr>
            <w:tcW w:w="2400" w:type="dxa"/>
          </w:tcPr>
          <w:p>
            <w:r>
              <w:t xml:space="preserve">population absence is the only evidence</w:t>
            </w:r>
          </w:p>
        </w:tc>
      </w:tr>
      <w:tr>
        <w:tc>
          <w:tcPr>
            <w:tcW w:w="2400" w:type="dxa"/>
          </w:tcPr>
          <w:p>
            <w:r>
              <w:t xml:space="preserve">mixed_splice_benign_and_pathogenic</w:t>
            </w:r>
          </w:p>
        </w:tc>
        <w:tc>
          <w:tcPr>
            <w:tcW w:w="2400" w:type="dxa"/>
          </w:tcPr>
          <w:p>
            <w:r>
              <w:t xml:space="preserve">1276</w:t>
            </w:r>
          </w:p>
        </w:tc>
        <w:tc>
          <w:tcPr>
            <w:tcW w:w="2400" w:type="dxa"/>
          </w:tcPr>
          <w:p>
            <w:r>
              <w:t xml:space="preserve">benign splice evidence plus PM2 background</w:t>
            </w:r>
          </w:p>
        </w:tc>
      </w:tr>
      <w:tr>
        <w:tc>
          <w:tcPr>
            <w:tcW w:w="2400" w:type="dxa"/>
          </w:tcPr>
          <w:p>
            <w:r>
              <w:t xml:space="preserve">computational_pathogenic_evidence_not_enough</w:t>
            </w:r>
          </w:p>
        </w:tc>
        <w:tc>
          <w:tcPr>
            <w:tcW w:w="2400" w:type="dxa"/>
          </w:tcPr>
          <w:p>
            <w:r>
              <w:t xml:space="preserve">842</w:t>
            </w:r>
          </w:p>
        </w:tc>
        <w:tc>
          <w:tcPr>
            <w:tcW w:w="2400" w:type="dxa"/>
          </w:tcPr>
          <w:p>
            <w:r>
              <w:t xml:space="preserve">PP3 or SpliceAI signal is insufficient alone</w:t>
            </w:r>
          </w:p>
        </w:tc>
      </w:tr>
      <w:tr>
        <w:tc>
          <w:tcPr>
            <w:tcW w:w="2400" w:type="dxa"/>
          </w:tcPr>
          <w:p>
            <w:r>
              <w:t xml:space="preserve">strong_pathogenic_combo_one_step_short</w:t>
            </w:r>
          </w:p>
        </w:tc>
        <w:tc>
          <w:tcPr>
            <w:tcW w:w="2400" w:type="dxa"/>
          </w:tcPr>
          <w:p>
            <w:r>
              <w:t xml:space="preserve">446</w:t>
            </w:r>
          </w:p>
        </w:tc>
        <w:tc>
          <w:tcPr>
            <w:tcW w:w="2400" w:type="dxa"/>
          </w:tcPr>
          <w:p>
            <w:r>
              <w:t xml:space="preserve">strong pathogenic evidence but missing one accepted item</w:t>
            </w:r>
          </w:p>
        </w:tc>
      </w:tr>
      <w:tr>
        <w:tc>
          <w:tcPr>
            <w:tcW w:w="2400" w:type="dxa"/>
          </w:tcPr>
          <w:p>
            <w:r>
              <w:t xml:space="preserve">no_automated_evidence</w:t>
            </w:r>
          </w:p>
        </w:tc>
        <w:tc>
          <w:tcPr>
            <w:tcW w:w="2400" w:type="dxa"/>
          </w:tcPr>
          <w:p>
            <w:r>
              <w:t xml:space="preserve">331</w:t>
            </w:r>
          </w:p>
        </w:tc>
        <w:tc>
          <w:tcPr>
            <w:tcW w:w="2400" w:type="dxa"/>
          </w:tcPr>
          <w:p>
            <w:r>
              <w:t xml:space="preserve">no useful Module 1 evidence</w:t>
            </w:r>
          </w:p>
        </w:tc>
      </w:tr>
      <w:tr>
        <w:tc>
          <w:tcPr>
            <w:tcW w:w="2400" w:type="dxa"/>
          </w:tcPr>
          <w:p>
            <w:r>
              <w:t xml:space="preserve">benign_functional_evidence_not_enough</w:t>
            </w:r>
          </w:p>
        </w:tc>
        <w:tc>
          <w:tcPr>
            <w:tcW w:w="2400" w:type="dxa"/>
          </w:tcPr>
          <w:p>
            <w:r>
              <w:t xml:space="preserve">170</w:t>
            </w:r>
          </w:p>
        </w:tc>
        <w:tc>
          <w:tcPr>
            <w:tcW w:w="2400" w:type="dxa"/>
          </w:tcPr>
          <w:p>
            <w:r>
              <w:t xml:space="preserve">benign evidence present but not enough for benign class</w:t>
            </w:r>
          </w:p>
        </w:tc>
      </w:tr>
    </w:tbl>
    <w:p>
      <w:r>
        <w:t xml:space="preserve">This shows that most VUS are not dramatic edge cases. Many are low-information variants where automated Module 1 evidence is incomplete.</w:t>
      </w:r>
    </w:p>
    <w:p>
      <w:pPr>
        <w:pStyle w:val="Heading3"/>
      </w:pPr>
      <w:r>
        <w:t xml:space="preserve">Pathogenic Neighborhood And Proximity</w:t>
      </w:r>
    </w:p>
    <w:p>
      <w:r>
        <w:t xml:space="preserve">The local coding sequence neighborhood around each VUS was compared with the generated benign and pathogenic groups:</w:t>
      </w:r>
    </w:p>
    <w:p>
      <w:pPr>
        <w:pStyle w:val="ListBullet"/>
        <w:ind w:left="720" w:hanging="360"/>
      </w:pPr>
      <w:r>
        <w:t xml:space="preserve">benign group: classes 1 and 2</w:t>
      </w:r>
    </w:p>
    <w:p>
      <w:pPr>
        <w:pStyle w:val="ListBullet"/>
        <w:ind w:left="720" w:hanging="360"/>
      </w:pPr>
      <w:r>
        <w:t xml:space="preserve">pathogenic group: classes 4 and 5</w:t>
      </w:r>
    </w:p>
    <w:p>
      <w:pPr>
        <w:pStyle w:val="ListBullet"/>
        <w:ind w:left="720" w:hanging="360"/>
      </w:pPr>
      <w:r>
        <w:t xml:space="preserve">VUS group: class 3</w:t>
      </w:r>
    </w:p>
    <w:p>
      <w:r>
        <w:t xml:space="preserve">For each VUS, the analysis computed:</w:t>
      </w:r>
    </w:p>
    <w:p>
      <w:pPr>
        <w:pStyle w:val="ListBullet"/>
        <w:ind w:left="720" w:hanging="360"/>
      </w:pPr>
      <w:r>
        <w:t xml:space="preserve">nearest generated pathogenic variant</w:t>
      </w:r>
    </w:p>
    <w:p>
      <w:pPr>
        <w:pStyle w:val="ListBullet"/>
        <w:ind w:left="720" w:hanging="360"/>
      </w:pPr>
      <w:r>
        <w:t xml:space="preserve">nearest generated benign variant</w:t>
      </w:r>
    </w:p>
    <w:p>
      <w:pPr>
        <w:pStyle w:val="ListBullet"/>
        <w:ind w:left="720" w:hanging="360"/>
      </w:pPr>
      <w:r>
        <w:t xml:space="preserve">counts of pathogenic and benign variants within +/-20, +/-50, and +/-100 bp</w:t>
      </w:r>
    </w:p>
    <w:p>
      <w:pPr>
        <w:pStyle w:val="ListBullet"/>
        <w:ind w:left="720" w:hanging="360"/>
      </w:pPr>
      <w:r>
        <w:t xml:space="preserve">whether the VUS lies in a pathogenic hotspot bin</w:t>
      </w:r>
    </w:p>
    <w:p>
      <w:r>
        <w:t xml:space="preserve">Results: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t xml:space="preserve">Category</w:t>
            </w:r>
          </w:p>
        </w:tc>
        <w:tc>
          <w:tcPr>
            <w:tcW w:w="2400" w:type="dxa"/>
            <w:shd w:fill="EDEDED"/>
          </w:tcPr>
          <w:p>
            <w:r>
              <w:t xml:space="preserve">Count</w:t>
            </w:r>
          </w:p>
        </w:tc>
      </w:tr>
      <w:tr>
        <w:tc>
          <w:tcPr>
            <w:tcW w:w="2400" w:type="dxa"/>
          </w:tcPr>
          <w:p>
            <w:r>
              <w:t xml:space="preserve">closer_to_benign</w:t>
            </w:r>
          </w:p>
        </w:tc>
        <w:tc>
          <w:tcPr>
            <w:tcW w:w="2400" w:type="dxa"/>
          </w:tcPr>
          <w:p>
            <w:r>
              <w:t xml:space="preserve">3853</w:t>
            </w:r>
          </w:p>
        </w:tc>
      </w:tr>
      <w:tr>
        <w:tc>
          <w:tcPr>
            <w:tcW w:w="2400" w:type="dxa"/>
          </w:tcPr>
          <w:p>
            <w:r>
              <w:t xml:space="preserve">closer_to_pathogenic</w:t>
            </w:r>
          </w:p>
        </w:tc>
        <w:tc>
          <w:tcPr>
            <w:tcW w:w="2400" w:type="dxa"/>
          </w:tcPr>
          <w:p>
            <w:r>
              <w:t xml:space="preserve">3480</w:t>
            </w:r>
          </w:p>
        </w:tc>
      </w:tr>
      <w:tr>
        <w:tc>
          <w:tcPr>
            <w:tcW w:w="2400" w:type="dxa"/>
          </w:tcPr>
          <w:p>
            <w:r>
              <w:t xml:space="preserve">equal_distance</w:t>
            </w:r>
          </w:p>
        </w:tc>
        <w:tc>
          <w:tcPr>
            <w:tcW w:w="2400" w:type="dxa"/>
          </w:tcPr>
          <w:p>
            <w:r>
              <w:t xml:space="preserve">821</w:t>
            </w:r>
          </w:p>
        </w:tc>
      </w:tr>
      <w:tr>
        <w:tc>
          <w:tcPr>
            <w:tcW w:w="2400" w:type="dxa"/>
          </w:tcPr>
          <w:p>
            <w:r>
              <w:t xml:space="preserve">strong_pathogenic_region</w:t>
            </w:r>
          </w:p>
        </w:tc>
        <w:tc>
          <w:tcPr>
            <w:tcW w:w="2400" w:type="dxa"/>
          </w:tcPr>
          <w:p>
            <w:r>
              <w:t xml:space="preserve">2301</w:t>
            </w:r>
          </w:p>
        </w:tc>
      </w:tr>
      <w:tr>
        <w:tc>
          <w:tcPr>
            <w:tcW w:w="2400" w:type="dxa"/>
          </w:tcPr>
          <w:p>
            <w:r>
              <w:t xml:space="preserve">strong_pathogenic_region_and_closer_to_pathogenic</w:t>
            </w:r>
          </w:p>
        </w:tc>
        <w:tc>
          <w:tcPr>
            <w:tcW w:w="2400" w:type="dxa"/>
          </w:tcPr>
          <w:p>
            <w:r>
              <w:t xml:space="preserve">1451</w:t>
            </w:r>
          </w:p>
        </w:tc>
      </w:tr>
    </w:tbl>
    <w:p>
      <w:r>
        <w:t xml:space="preserve">The 1451 VUS in strong pathogenic regions and closer to pathogenic than benign variants form an important manual-review candidate group. This still does not imply pathogenicity; it identifies VUS located in locally pathogenic-looking generated landscapes.</w:t>
      </w:r>
    </w:p>
    <w:p>
      <w:pPr>
        <w:pStyle w:val="Heading3"/>
      </w:pPr>
      <w:r>
        <w:t xml:space="preserve">Protein Domain And Structure Context</w:t>
      </w:r>
    </w:p>
    <w:p>
      <w:r>
        <w:t xml:space="preserve">Variants were mapped to broad protein regions and UniProt-derived active/interface context. The main regions included:</w:t>
      </w:r>
    </w:p>
    <w:p>
      <w:pPr>
        <w:pStyle w:val="ListBullet"/>
        <w:ind w:left="720" w:hanging="360"/>
      </w:pPr>
      <w:r>
        <w:t xml:space="preserve">BRCA1 RING zinc-binding/E3 ligase region</w:t>
      </w:r>
    </w:p>
    <w:p>
      <w:pPr>
        <w:pStyle w:val="ListBullet"/>
        <w:ind w:left="720" w:hanging="360"/>
      </w:pPr>
      <w:r>
        <w:t xml:space="preserve">BRCA1 BRCT phosphopeptide-binding region</w:t>
      </w:r>
    </w:p>
    <w:p>
      <w:pPr>
        <w:pStyle w:val="ListBullet"/>
        <w:ind w:left="720" w:hanging="360"/>
      </w:pPr>
      <w:r>
        <w:t xml:space="preserve">BRCA2 DNA-binding domain / helical-OB-DSS1 region</w:t>
      </w:r>
    </w:p>
    <w:p>
      <w:pPr>
        <w:pStyle w:val="ListBullet"/>
        <w:ind w:left="720" w:hanging="360"/>
      </w:pPr>
      <w:r>
        <w:t xml:space="preserve">BRCA2 BRC repeats / RAD51-binding region</w:t>
      </w:r>
    </w:p>
    <w:p>
      <w:pPr>
        <w:pStyle w:val="ListBullet"/>
        <w:ind w:left="720" w:hanging="360"/>
      </w:pPr>
      <w:r>
        <w:t xml:space="preserve">BRCA2 C-terminal RAD51-binding/nuclear localization context</w:t>
      </w:r>
    </w:p>
    <w:p>
      <w:pPr>
        <w:pStyle w:val="ListBullet"/>
        <w:ind w:left="720" w:hanging="360"/>
      </w:pPr>
      <w:r>
        <w:t xml:space="preserve">PALB2 interaction regions</w:t>
      </w:r>
    </w:p>
    <w:p>
      <w:pPr>
        <w:pStyle w:val="ListBullet"/>
        <w:ind w:left="720" w:hanging="360"/>
      </w:pPr>
      <w:r>
        <w:t xml:space="preserve">SEM1/DSS1-related context</w:t>
      </w:r>
    </w:p>
    <w:p>
      <w:r>
        <w:t xml:space="preserve">This domain context was used only as interpretation and prioritization context. It was not treated as an ACMG/ENIGMA classification criterion.</w:t>
      </w:r>
    </w:p>
    <w:p>
      <w:pPr>
        <w:pStyle w:val="Heading3"/>
      </w:pPr>
      <w:r>
        <w:t xml:space="preserve">Benign Counterexamples</w:t>
      </w:r>
    </w:p>
    <w:p>
      <w:r>
        <w:t xml:space="preserve">To avoid over-interpreting protein domain location, benign and likely benign variants were mapped to the same domains and active/interface annotations.</w:t>
      </w:r>
    </w:p>
    <w:p>
      <w:r>
        <w:t xml:space="preserve">This identified benign counterexamples inside functionally important regions: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t xml:space="preserve">Counterexample Tier</w:t>
            </w:r>
          </w:p>
        </w:tc>
        <w:tc>
          <w:tcPr>
            <w:tcW w:w="2400" w:type="dxa"/>
            <w:shd w:fill="EDEDED"/>
          </w:tcPr>
          <w:p>
            <w:r>
              <w:t xml:space="preserve">Count</w:t>
            </w:r>
          </w:p>
        </w:tc>
      </w:tr>
      <w:tr>
        <w:tc>
          <w:tcPr>
            <w:tcW w:w="2400" w:type="dxa"/>
          </w:tcPr>
          <w:p>
            <w:r>
              <w:t xml:space="preserve">C_region_level_interface_context</w:t>
            </w:r>
          </w:p>
        </w:tc>
        <w:tc>
          <w:tcPr>
            <w:tcW w:w="2400" w:type="dxa"/>
          </w:tcPr>
          <w:p>
            <w:r>
              <w:t xml:space="preserve">15199</w:t>
            </w:r>
          </w:p>
        </w:tc>
      </w:tr>
      <w:tr>
        <w:tc>
          <w:tcPr>
            <w:tcW w:w="2400" w:type="dxa"/>
          </w:tcPr>
          <w:p>
            <w:r>
              <w:t xml:space="preserve">D_broad_domain_context</w:t>
            </w:r>
          </w:p>
        </w:tc>
        <w:tc>
          <w:tcPr>
            <w:tcW w:w="2400" w:type="dxa"/>
          </w:tcPr>
          <w:p>
            <w:r>
              <w:t xml:space="preserve">2267</w:t>
            </w:r>
          </w:p>
        </w:tc>
      </w:tr>
      <w:tr>
        <w:tc>
          <w:tcPr>
            <w:tcW w:w="2400" w:type="dxa"/>
          </w:tcPr>
          <w:p>
            <w:r>
              <w:t xml:space="preserve">B_pathogenic_enriched_domain</w:t>
            </w:r>
          </w:p>
        </w:tc>
        <w:tc>
          <w:tcPr>
            <w:tcW w:w="2400" w:type="dxa"/>
          </w:tcPr>
          <w:p>
            <w:r>
              <w:t xml:space="preserve">283</w:t>
            </w:r>
          </w:p>
        </w:tc>
      </w:tr>
      <w:tr>
        <w:tc>
          <w:tcPr>
            <w:tcW w:w="2400" w:type="dxa"/>
          </w:tcPr>
          <w:p>
            <w:r>
              <w:t xml:space="preserve">A_exact_or_known_residue_context</w:t>
            </w:r>
          </w:p>
        </w:tc>
        <w:tc>
          <w:tcPr>
            <w:tcW w:w="2400" w:type="dxa"/>
          </w:tcPr>
          <w:p>
            <w:r>
              <w:t xml:space="preserve">206</w:t>
            </w:r>
          </w:p>
        </w:tc>
      </w:tr>
    </w:tbl>
    <w:p>
      <w:r>
        <w:t xml:space="preserve">This demonstrates that domain or interface context cannot be used as evidence by itself. It is useful only when combined with variant mechanism, local neighborhood, criteria, and residue-level evidence.</w:t>
      </w:r>
    </w:p>
    <w:p>
      <w:pPr>
        <w:pStyle w:val="Heading3"/>
      </w:pPr>
      <w:r>
        <w:t xml:space="preserve">BS3 And Functional Benign Evidence In Domains</w:t>
      </w:r>
    </w:p>
    <w:p>
      <w:r>
        <w:t xml:space="preserve">Because many benign variants inside important domains were driven by BS3, we analyzed BS3 separately.</w:t>
      </w:r>
    </w:p>
    <w:p>
      <w:r>
        <w:t xml:space="preserve">Results:</w:t>
      </w:r>
    </w:p>
    <w:p>
      <w:pPr>
        <w:pStyle w:val="ListBullet"/>
        <w:ind w:left="720" w:hanging="360"/>
      </w:pPr>
      <w:r>
        <w:t xml:space="preserve">benign domain/interface variants analyzed: 17955</w:t>
      </w:r>
    </w:p>
    <w:p>
      <w:pPr>
        <w:pStyle w:val="ListBullet"/>
        <w:ind w:left="720" w:hanging="360"/>
      </w:pPr>
      <w:r>
        <w:t xml:space="preserve">with BS3: 2017</w:t>
      </w:r>
    </w:p>
    <w:p>
      <w:pPr>
        <w:pStyle w:val="ListBullet"/>
        <w:ind w:left="720" w:hanging="360"/>
      </w:pPr>
      <w:r>
        <w:t xml:space="preserve">with BS3 plus PP3 or SpliceAI &gt;= 0.20: 126</w:t>
      </w:r>
    </w:p>
    <w:p>
      <w:r>
        <w:t xml:space="preserve">BS3 by region: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t xml:space="preserve">Region</w:t>
            </w:r>
          </w:p>
        </w:tc>
        <w:tc>
          <w:tcPr>
            <w:tcW w:w="2400" w:type="dxa"/>
            <w:shd w:fill="EDEDED"/>
          </w:tcPr>
          <w:p>
            <w:r>
              <w:t xml:space="preserve">Benign domain count</w:t>
            </w:r>
          </w:p>
        </w:tc>
        <w:tc>
          <w:tcPr>
            <w:tcW w:w="2400" w:type="dxa"/>
            <w:shd w:fill="EDEDED"/>
          </w:tcPr>
          <w:p>
            <w:r>
              <w:t xml:space="preserve">BS3 count</w:t>
            </w:r>
          </w:p>
        </w:tc>
        <w:tc>
          <w:tcPr>
            <w:tcW w:w="2400" w:type="dxa"/>
            <w:shd w:fill="EDEDED"/>
          </w:tcPr>
          <w:p>
            <w:r>
              <w:t xml:space="preserve">BS3 percent</w:t>
            </w:r>
          </w:p>
        </w:tc>
      </w:tr>
      <w:tr>
        <w:tc>
          <w:tcPr>
            <w:tcW w:w="2400" w:type="dxa"/>
          </w:tcPr>
          <w:p>
            <w:r>
              <w:t xml:space="preserve">BRCT phosphopeptide-binding region</w:t>
            </w:r>
          </w:p>
        </w:tc>
        <w:tc>
          <w:tcPr>
            <w:tcW w:w="2400" w:type="dxa"/>
          </w:tcPr>
          <w:p>
            <w:r>
              <w:t xml:space="preserve">1178</w:t>
            </w:r>
          </w:p>
        </w:tc>
        <w:tc>
          <w:tcPr>
            <w:tcW w:w="2400" w:type="dxa"/>
          </w:tcPr>
          <w:p>
            <w:r>
              <w:t xml:space="preserve">1174</w:t>
            </w:r>
          </w:p>
        </w:tc>
        <w:tc>
          <w:tcPr>
            <w:tcW w:w="2400" w:type="dxa"/>
          </w:tcPr>
          <w:p>
            <w:r>
              <w:t xml:space="preserve">99.66</w:t>
            </w:r>
          </w:p>
        </w:tc>
      </w:tr>
      <w:tr>
        <w:tc>
          <w:tcPr>
            <w:tcW w:w="2400" w:type="dxa"/>
          </w:tcPr>
          <w:p>
            <w:r>
              <w:t xml:space="preserve">RING zinc-binding/E3 ligase region</w:t>
            </w:r>
          </w:p>
        </w:tc>
        <w:tc>
          <w:tcPr>
            <w:tcW w:w="2400" w:type="dxa"/>
          </w:tcPr>
          <w:p>
            <w:r>
              <w:t xml:space="preserve">576</w:t>
            </w:r>
          </w:p>
        </w:tc>
        <w:tc>
          <w:tcPr>
            <w:tcW w:w="2400" w:type="dxa"/>
          </w:tcPr>
          <w:p>
            <w:r>
              <w:t xml:space="preserve">571</w:t>
            </w:r>
          </w:p>
        </w:tc>
        <w:tc>
          <w:tcPr>
            <w:tcW w:w="2400" w:type="dxa"/>
          </w:tcPr>
          <w:p>
            <w:r>
              <w:t xml:space="preserve">99.13</w:t>
            </w:r>
          </w:p>
        </w:tc>
      </w:tr>
      <w:tr>
        <w:tc>
          <w:tcPr>
            <w:tcW w:w="2400" w:type="dxa"/>
          </w:tcPr>
          <w:p>
            <w:r>
              <w:t xml:space="preserve">BRCA2 DBD / helical-OB-DSS1 region</w:t>
            </w:r>
          </w:p>
        </w:tc>
        <w:tc>
          <w:tcPr>
            <w:tcW w:w="2400" w:type="dxa"/>
          </w:tcPr>
          <w:p>
            <w:r>
              <w:t xml:space="preserve">256</w:t>
            </w:r>
          </w:p>
        </w:tc>
        <w:tc>
          <w:tcPr>
            <w:tcW w:w="2400" w:type="dxa"/>
          </w:tcPr>
          <w:p>
            <w:r>
              <w:t xml:space="preserve">127</w:t>
            </w:r>
          </w:p>
        </w:tc>
        <w:tc>
          <w:tcPr>
            <w:tcW w:w="2400" w:type="dxa"/>
          </w:tcPr>
          <w:p>
            <w:r>
              <w:t xml:space="preserve">49.61</w:t>
            </w:r>
          </w:p>
        </w:tc>
      </w:tr>
      <w:tr>
        <w:tc>
          <w:tcPr>
            <w:tcW w:w="2400" w:type="dxa"/>
          </w:tcPr>
          <w:p>
            <w:r>
              <w:t xml:space="preserve">BRC repeats / RAD51-binding region</w:t>
            </w:r>
          </w:p>
        </w:tc>
        <w:tc>
          <w:tcPr>
            <w:tcW w:w="2400" w:type="dxa"/>
          </w:tcPr>
          <w:p>
            <w:r>
              <w:t xml:space="preserve">9242</w:t>
            </w:r>
          </w:p>
        </w:tc>
        <w:tc>
          <w:tcPr>
            <w:tcW w:w="2400" w:type="dxa"/>
          </w:tcPr>
          <w:p>
            <w:r>
              <w:t xml:space="preserve">32</w:t>
            </w:r>
          </w:p>
        </w:tc>
        <w:tc>
          <w:tcPr>
            <w:tcW w:w="2400" w:type="dxa"/>
          </w:tcPr>
          <w:p>
            <w:r>
              <w:t xml:space="preserve">0.35</w:t>
            </w:r>
          </w:p>
        </w:tc>
      </w:tr>
    </w:tbl>
    <w:p>
      <w:r>
        <w:t xml:space="preserve">BS3 variants by mechanism: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t xml:space="preserve">Mechanism</w:t>
            </w:r>
          </w:p>
        </w:tc>
        <w:tc>
          <w:tcPr>
            <w:tcW w:w="2400" w:type="dxa"/>
            <w:shd w:fill="EDEDED"/>
          </w:tcPr>
          <w:p>
            <w:r>
              <w:t xml:space="preserve">Count</w:t>
            </w:r>
          </w:p>
        </w:tc>
      </w:tr>
      <w:tr>
        <w:tc>
          <w:tcPr>
            <w:tcW w:w="2400" w:type="dxa"/>
          </w:tcPr>
          <w:p>
            <w:r>
              <w:t xml:space="preserve">missense</w:t>
            </w:r>
          </w:p>
        </w:tc>
        <w:tc>
          <w:tcPr>
            <w:tcW w:w="2400" w:type="dxa"/>
          </w:tcPr>
          <w:p>
            <w:r>
              <w:t xml:space="preserve">1530</w:t>
            </w:r>
          </w:p>
        </w:tc>
      </w:tr>
      <w:tr>
        <w:tc>
          <w:tcPr>
            <w:tcW w:w="2400" w:type="dxa"/>
          </w:tcPr>
          <w:p>
            <w:r>
              <w:t xml:space="preserve">synonymous</w:t>
            </w:r>
          </w:p>
        </w:tc>
        <w:tc>
          <w:tcPr>
            <w:tcW w:w="2400" w:type="dxa"/>
          </w:tcPr>
          <w:p>
            <w:r>
              <w:t xml:space="preserve">487</w:t>
            </w:r>
          </w:p>
        </w:tc>
      </w:tr>
    </w:tbl>
    <w:p>
      <w:r>
        <w:t xml:space="preserve">This analysis highlighted a small but important review group: variants with BS3+PP3 and high SpliceAI. These are not automatically errors. They are cases where assay metadata matters: the curator needs to know whether the functional assay measured the relevant protein effect, splicing, NMD, or another mechanism.</w:t>
      </w:r>
    </w:p>
    <w:p>
      <w:pPr>
        <w:pStyle w:val="Heading2"/>
      </w:pPr>
      <w:r>
        <w:t xml:space="preserve">Candidate Review Groups</w:t>
      </w:r>
    </w:p>
    <w:p>
      <w:r>
        <w:t xml:space="preserve">The analyses suggest several candidate groups for manual review.</w:t>
      </w:r>
    </w:p>
    <w:p>
      <w:pPr>
        <w:pStyle w:val="Heading3"/>
      </w:pPr>
      <w:r>
        <w:t xml:space="preserve">Group 1: Strong Pathogenic Evidence One Step Short</w:t>
      </w:r>
    </w:p>
    <w:p>
      <w:r>
        <w:t xml:space="preserve">These VUS often contain PS3, PP3, or another pathogenic-direction signal but do not satisfy the exact ENIGMA combination needed for likely pathogenic.</w:t>
      </w:r>
    </w:p>
    <w:p>
      <w:r>
        <w:t xml:space="preserve">Typical next evidence to look for:</w:t>
      </w:r>
    </w:p>
    <w:p>
      <w:pPr>
        <w:pStyle w:val="ListBullet"/>
        <w:ind w:left="720" w:hanging="360"/>
      </w:pPr>
      <w:r>
        <w:t xml:space="preserve">RNA confirmation</w:t>
      </w:r>
    </w:p>
    <w:p>
      <w:pPr>
        <w:pStyle w:val="ListBullet"/>
        <w:ind w:left="720" w:hanging="360"/>
      </w:pPr>
      <w:r>
        <w:t xml:space="preserve">accepted functional evidence</w:t>
      </w:r>
    </w:p>
    <w:p>
      <w:pPr>
        <w:pStyle w:val="ListBullet"/>
        <w:ind w:left="720" w:hanging="360"/>
      </w:pPr>
      <w:r>
        <w:t xml:space="preserve">PS1</w:t>
      </w:r>
    </w:p>
    <w:p>
      <w:pPr>
        <w:pStyle w:val="ListBullet"/>
        <w:ind w:left="720" w:hanging="360"/>
      </w:pPr>
      <w:r>
        <w:t xml:space="preserve">PP1</w:t>
      </w:r>
    </w:p>
    <w:p>
      <w:pPr>
        <w:pStyle w:val="ListBullet"/>
        <w:ind w:left="720" w:hanging="360"/>
      </w:pPr>
      <w:r>
        <w:t xml:space="preserve">PM3</w:t>
      </w:r>
    </w:p>
    <w:p>
      <w:pPr>
        <w:pStyle w:val="ListBullet"/>
        <w:ind w:left="720" w:hanging="360"/>
      </w:pPr>
      <w:r>
        <w:t xml:space="preserve">PS4</w:t>
      </w:r>
    </w:p>
    <w:p>
      <w:pPr>
        <w:pStyle w:val="ListBullet"/>
        <w:ind w:left="720" w:hanging="360"/>
      </w:pPr>
      <w:r>
        <w:t xml:space="preserve">PP4</w:t>
      </w:r>
    </w:p>
    <w:p>
      <w:pPr>
        <w:pStyle w:val="ListBullet"/>
        <w:ind w:left="720" w:hanging="360"/>
      </w:pPr>
      <w:r>
        <w:t xml:space="preserve">curated external evidence</w:t>
      </w:r>
    </w:p>
    <w:p>
      <w:pPr>
        <w:pStyle w:val="Heading3"/>
      </w:pPr>
      <w:r>
        <w:t xml:space="preserve">Group 2: VUS In Strong Pathogenic Regions</w:t>
      </w:r>
    </w:p>
    <w:p>
      <w:r>
        <w:t xml:space="preserve">These VUS are in generated regions where class 4/5 variants outnumber benign variants locally, or where the nearest generated pathogenic variant is closer than the nearest generated benign variant.</w:t>
      </w:r>
    </w:p>
    <w:p>
      <w:r>
        <w:t xml:space="preserve">Useful review questions:</w:t>
      </w:r>
    </w:p>
    <w:p>
      <w:pPr>
        <w:pStyle w:val="ListBullet"/>
        <w:ind w:left="720" w:hanging="360"/>
      </w:pPr>
      <w:r>
        <w:t xml:space="preserve">Is the local signal driven by splice effects?</w:t>
      </w:r>
    </w:p>
    <w:p>
      <w:pPr>
        <w:pStyle w:val="ListBullet"/>
        <w:ind w:left="720" w:hanging="360"/>
      </w:pPr>
      <w:r>
        <w:t xml:space="preserve">Is the VUS near an exon boundary?</w:t>
      </w:r>
    </w:p>
    <w:p>
      <w:pPr>
        <w:pStyle w:val="ListBullet"/>
        <w:ind w:left="720" w:hanging="360"/>
      </w:pPr>
      <w:r>
        <w:t xml:space="preserve">Does the VUS have high SpliceAI?</w:t>
      </w:r>
    </w:p>
    <w:p>
      <w:pPr>
        <w:pStyle w:val="ListBullet"/>
        <w:ind w:left="720" w:hanging="360"/>
      </w:pPr>
      <w:r>
        <w:t xml:space="preserve">Does the same codon or residue have curated pathogenic substitutions?</w:t>
      </w:r>
    </w:p>
    <w:p>
      <w:pPr>
        <w:pStyle w:val="ListBullet"/>
        <w:ind w:left="720" w:hanging="360"/>
      </w:pPr>
      <w:r>
        <w:t xml:space="preserve">Are there benign counterexamples nearby?</w:t>
      </w:r>
    </w:p>
    <w:p>
      <w:pPr>
        <w:pStyle w:val="Heading3"/>
      </w:pPr>
      <w:r>
        <w:t xml:space="preserve">Group 3: Functional-Domain VUS With Supporting Evidence</w:t>
      </w:r>
    </w:p>
    <w:p>
      <w:r>
        <w:t xml:space="preserve">Domain or interface context can help prioritize VUS, especially when combined with other signals.</w:t>
      </w:r>
    </w:p>
    <w:p>
      <w:r>
        <w:t xml:space="preserve">However, domain context is not evidence by itself. Benign counterexamples in RING, BRCT, BRCA2 DBD, PALB2, RAD51/BRC, and SEM1/DSS1 contexts show why domain membership must be interpreted cautiously.</w:t>
      </w:r>
    </w:p>
    <w:p>
      <w:pPr>
        <w:pStyle w:val="Heading3"/>
      </w:pPr>
      <w:r>
        <w:t xml:space="preserve">Group 4: BS3 Conflict Cases</w:t>
      </w:r>
    </w:p>
    <w:p>
      <w:r>
        <w:t xml:space="preserve">Variants with BS3 plus PP3 or high SpliceAI should be reviewed as evidence-adjudication cases.</w:t>
      </w:r>
    </w:p>
    <w:p>
      <w:r>
        <w:t xml:space="preserve">Useful review questions:</w:t>
      </w:r>
    </w:p>
    <w:p>
      <w:pPr>
        <w:pStyle w:val="ListBullet"/>
        <w:ind w:left="720" w:hanging="360"/>
      </w:pPr>
      <w:r>
        <w:t xml:space="preserve">What did the BS3 assay measure?</w:t>
      </w:r>
    </w:p>
    <w:p>
      <w:pPr>
        <w:pStyle w:val="ListBullet"/>
        <w:ind w:left="720" w:hanging="360"/>
      </w:pPr>
      <w:r>
        <w:t xml:space="preserve">Does the assay detect splicing?</w:t>
      </w:r>
    </w:p>
    <w:p>
      <w:pPr>
        <w:pStyle w:val="ListBullet"/>
        <w:ind w:left="720" w:hanging="360"/>
      </w:pPr>
      <w:r>
        <w:t xml:space="preserve">Does the assay detect NMD?</w:t>
      </w:r>
    </w:p>
    <w:p>
      <w:pPr>
        <w:pStyle w:val="ListBullet"/>
        <w:ind w:left="720" w:hanging="360"/>
      </w:pPr>
      <w:r>
        <w:t xml:space="preserve">Is the PP3 signal transcript-relevant?</w:t>
      </w:r>
    </w:p>
    <w:p>
      <w:pPr>
        <w:pStyle w:val="ListBullet"/>
        <w:ind w:left="720" w:hanging="360"/>
      </w:pPr>
      <w:r>
        <w:t xml:space="preserve">Is the apparent conflict protein-based, RNA-based, or rule-based?</w:t>
      </w:r>
    </w:p>
    <w:p>
      <w:pPr>
        <w:pStyle w:val="Heading3"/>
      </w:pPr>
      <w:r>
        <w:t xml:space="preserve">Group 5: Low-Information PM2-Only VUS</w:t>
      </w:r>
    </w:p>
    <w:p>
      <w:r>
        <w:t xml:space="preserve">The largest group is PM2_only. These variants are not good first-pass review candidates unless additional evidence is available. Population absence alone is not independent pathogenic evidence.</w:t>
      </w:r>
    </w:p>
    <w:p>
      <w:pPr>
        <w:pStyle w:val="Heading2"/>
      </w:pPr>
      <w:r>
        <w:t xml:space="preserve">Proposed Figure Plan</w:t>
      </w:r>
    </w:p>
    <w:p>
      <w:pPr>
        <w:pStyle w:val="Heading3"/>
      </w:pPr>
      <w:r>
        <w:t xml:space="preserve">Figure 1: VUS Prioritization Overview</w:t>
      </w:r>
    </w:p>
    <w:p>
      <w:r>
        <w:t xml:space="preserve">Suggested source files:</w:t>
      </w:r>
    </w:p>
    <w:p>
      <w:pPr>
        <w:pStyle w:val="ListBullet"/>
        <w:ind w:left="720" w:hanging="360"/>
      </w:pPr>
      <w:r>
        <w:t xml:space="preserve">plots/08_vus_prioritization/vus_priority_score_histogram.svg</w:t>
      </w:r>
    </w:p>
    <w:p>
      <w:pPr>
        <w:pStyle w:val="ListBullet"/>
        <w:ind w:left="720" w:hanging="360"/>
      </w:pPr>
      <w:r>
        <w:t xml:space="preserve">plots/08_vus_prioritization/vus_priority_reason_counts.svg</w:t>
      </w:r>
    </w:p>
    <w:p>
      <w:pPr>
        <w:pStyle w:val="ListBullet"/>
        <w:ind w:left="720" w:hanging="360"/>
      </w:pPr>
      <w:r>
        <w:t xml:space="preserve">plots/08_vus_prioritization/vus_priority_exon_barplot.svg</w:t>
      </w:r>
    </w:p>
    <w:p>
      <w:r>
        <w:t xml:space="preserve">Message: VUS can be grouped into practical review tiers, with a small high-priority subset.</w:t>
      </w:r>
    </w:p>
    <w:p>
      <w:pPr>
        <w:pStyle w:val="Heading3"/>
      </w:pPr>
      <w:r>
        <w:t xml:space="preserve">Figure 2: VUS Pathogenic Neighborhoods</w:t>
      </w:r>
    </w:p>
    <w:p>
      <w:r>
        <w:t xml:space="preserve">Suggested source files:</w:t>
      </w:r>
    </w:p>
    <w:p>
      <w:pPr>
        <w:pStyle w:val="ListBullet"/>
        <w:ind w:left="720" w:hanging="360"/>
      </w:pPr>
      <w:r>
        <w:t xml:space="preserve">plots/18_vus_pathogenic_regions/vus_pathogenic_region_summary.svg</w:t>
      </w:r>
    </w:p>
    <w:p>
      <w:pPr>
        <w:pStyle w:val="ListBullet"/>
        <w:ind w:left="720" w:hanging="360"/>
      </w:pPr>
      <w:r>
        <w:t xml:space="preserve">plots/18_vus_pathogenic_regions/vus_pathogenic_vs_benign_neighborhood.svg</w:t>
      </w:r>
    </w:p>
    <w:p>
      <w:r>
        <w:t xml:space="preserve">Message: some VUS lie in generated neighborhoods that are more pathogenic than benign, but this is a prioritization signal only.</w:t>
      </w:r>
    </w:p>
    <w:p>
      <w:pPr>
        <w:pStyle w:val="Heading3"/>
      </w:pPr>
      <w:r>
        <w:t xml:space="preserve">Figure 3: Decision Bottlenecks</w:t>
      </w:r>
    </w:p>
    <w:p>
      <w:r>
        <w:t xml:space="preserve">Suggested source files:</w:t>
      </w:r>
    </w:p>
    <w:p>
      <w:pPr>
        <w:pStyle w:val="ListBullet"/>
        <w:ind w:left="720" w:hanging="360"/>
      </w:pPr>
      <w:r>
        <w:t xml:space="preserve">plots/12_vus_bottleneck/vus_bottleneck_categories.svg</w:t>
      </w:r>
    </w:p>
    <w:p>
      <w:pPr>
        <w:pStyle w:val="ListBullet"/>
        <w:ind w:left="720" w:hanging="360"/>
      </w:pPr>
      <w:r>
        <w:t xml:space="preserve">plots/12_vus_bottleneck/vus_bottleneck_combinations.svg</w:t>
      </w:r>
    </w:p>
    <w:p>
      <w:r>
        <w:t xml:space="preserve">Message: most VUS are low-information or one-evidence-item-short rather than clear contradictory cases.</w:t>
      </w:r>
    </w:p>
    <w:p>
      <w:pPr>
        <w:pStyle w:val="Heading3"/>
      </w:pPr>
      <w:r>
        <w:t xml:space="preserve">Figure 4: Domain Context And Benign Counterexamples</w:t>
      </w:r>
    </w:p>
    <w:p>
      <w:r>
        <w:t xml:space="preserve">Suggested source files:</w:t>
      </w:r>
    </w:p>
    <w:p>
      <w:pPr>
        <w:pStyle w:val="ListBullet"/>
        <w:ind w:left="720" w:hanging="360"/>
      </w:pPr>
      <w:r>
        <w:t xml:space="preserve">plots/19_benign_structure_function/benign_vs_pathogenic_feature_comparison.svg</w:t>
      </w:r>
    </w:p>
    <w:p>
      <w:pPr>
        <w:pStyle w:val="ListBullet"/>
        <w:ind w:left="720" w:hanging="360"/>
      </w:pPr>
      <w:r>
        <w:t xml:space="preserve">plots/20_benign_counterexamples/tier_summary.svg</w:t>
      </w:r>
    </w:p>
    <w:p>
      <w:pPr>
        <w:pStyle w:val="ListBullet"/>
        <w:ind w:left="720" w:hanging="360"/>
      </w:pPr>
      <w:r>
        <w:t xml:space="preserve">plots/21_bs3_domain_conflicts/domain_mechanism_stacked.svg</w:t>
      </w:r>
    </w:p>
    <w:p>
      <w:r>
        <w:t xml:space="preserve">Message: structural context helps prioritize, but benign counterexamples and BS3 evidence prevent simple domain-based interpretation.</w:t>
      </w:r>
    </w:p>
    <w:p>
      <w:pPr>
        <w:pStyle w:val="Heading2"/>
      </w:pPr>
      <w:r>
        <w:t xml:space="preserve">Practical Curation Workflow</w:t>
      </w:r>
    </w:p>
    <w:p>
      <w:pPr>
        <w:pStyle w:val="ListNumber"/>
        <w:ind w:left="720" w:hanging="360"/>
      </w:pPr>
      <w:r>
        <w:t xml:space="preserve">Start with tier1_urgent and tier2_high VUS.</w:t>
      </w:r>
    </w:p>
    <w:p>
      <w:pPr>
        <w:pStyle w:val="ListNumber"/>
        <w:ind w:left="720" w:hanging="360"/>
      </w:pPr>
      <w:r>
        <w:t xml:space="preserve">Check whether the VUS belongs to a clear bottleneck category.</w:t>
      </w:r>
    </w:p>
    <w:p>
      <w:pPr>
        <w:pStyle w:val="ListNumber"/>
        <w:ind w:left="720" w:hanging="360"/>
      </w:pPr>
      <w:r>
        <w:t xml:space="preserve">If splice signal is present, verify transcript relevance and boundary</w:t>
      </w:r>
    </w:p>
    <w:p>
      <w:r>
        <w:t xml:space="preserve">context.</w:t>
      </w:r>
    </w:p>
    <w:p>
      <w:pPr>
        <w:pStyle w:val="ListNumber"/>
        <w:ind w:left="720" w:hanging="360"/>
      </w:pPr>
      <w:r>
        <w:t xml:space="preserve">If the VUS lies in a pathogenic region, inspect nearby benign and pathogenic</w:t>
      </w:r>
    </w:p>
    <w:p>
      <w:r>
        <w:t xml:space="preserve">variants.</w:t>
      </w:r>
    </w:p>
    <w:p>
      <w:pPr>
        <w:pStyle w:val="ListNumber"/>
        <w:ind w:left="720" w:hanging="360"/>
      </w:pPr>
      <w:r>
        <w:t xml:space="preserve">If the VUS lies in RING, BRCT, BRCA2 DBD, PALB2, RAD51/BRC, or SEM1/DSS1</w:t>
      </w:r>
    </w:p>
    <w:p>
      <w:r>
        <w:t xml:space="preserve">context, inspect benign counterexamples and residue-level annotations.</w:t>
      </w:r>
    </w:p>
    <w:p>
      <w:pPr>
        <w:pStyle w:val="ListNumber"/>
        <w:ind w:left="720" w:hanging="360"/>
      </w:pPr>
      <w:r>
        <w:t xml:space="preserve">If BS3 conflicts with PP3 or high SpliceAI, inspect assay metadata before</w:t>
      </w:r>
    </w:p>
    <w:p>
      <w:r>
        <w:t xml:space="preserve">interpreting the conflict.</w:t>
      </w:r>
    </w:p>
    <w:p>
      <w:pPr>
        <w:pStyle w:val="ListNumber"/>
        <w:ind w:left="720" w:hanging="360"/>
      </w:pPr>
      <w:r>
        <w:t xml:space="preserve">Search for missing accepted evidence: RNA, functional assay metadata, PS1,</w:t>
      </w:r>
    </w:p>
    <w:p>
      <w:r>
        <w:t xml:space="preserve">PP1, PM3, PS4, PP4, or curated expert classifications.</w:t>
      </w:r>
    </w:p>
    <w:p>
      <w:pPr>
        <w:pStyle w:val="Heading2"/>
      </w:pPr>
      <w:r>
        <w:t xml:space="preserve">Limitations</w:t>
      </w:r>
    </w:p>
    <w:p>
      <w:r>
        <w:t xml:space="preserve">This analysis has several important limitations:</w:t>
      </w:r>
    </w:p>
    <w:p>
      <w:pPr>
        <w:pStyle w:val="ListBullet"/>
        <w:ind w:left="720" w:hanging="360"/>
      </w:pPr>
      <w:r>
        <w:t xml:space="preserve">It studies a generated ARIANE Module 1 snapshot, not independent clinical</w:t>
      </w:r>
    </w:p>
    <w:p>
      <w:r>
        <w:t xml:space="preserve">truth.</w:t>
      </w:r>
    </w:p>
    <w:p>
      <w:pPr>
        <w:pStyle w:val="ListBullet"/>
        <w:ind w:left="720" w:hanging="360"/>
      </w:pPr>
      <w:r>
        <w:t xml:space="preserve">It does not reclassify variants.</w:t>
      </w:r>
    </w:p>
    <w:p>
      <w:pPr>
        <w:pStyle w:val="ListBullet"/>
        <w:ind w:left="720" w:hanging="360"/>
      </w:pPr>
      <w:r>
        <w:t xml:space="preserve">It covers coding SNVs only.</w:t>
      </w:r>
    </w:p>
    <w:p>
      <w:pPr>
        <w:pStyle w:val="ListBullet"/>
        <w:ind w:left="720" w:hanging="360"/>
      </w:pPr>
      <w:r>
        <w:t xml:space="preserve">It does not include indels, CNVs, deep intronic variants, promoter variants,</w:t>
      </w:r>
    </w:p>
    <w:p>
      <w:r>
        <w:t xml:space="preserve">or UTR variants.</w:t>
      </w:r>
    </w:p>
    <w:p>
      <w:pPr>
        <w:pStyle w:val="ListBullet"/>
        <w:ind w:left="720" w:hanging="360"/>
      </w:pPr>
      <w:r>
        <w:t xml:space="preserve">It uses only currently automated Module 1 criteria.</w:t>
      </w:r>
    </w:p>
    <w:p>
      <w:pPr>
        <w:pStyle w:val="ListBullet"/>
        <w:ind w:left="720" w:hanging="360"/>
      </w:pPr>
      <w:r>
        <w:t xml:space="preserve">Several important ACMG/ENIGMA criteria remain non-automated and require</w:t>
      </w:r>
    </w:p>
    <w:p>
      <w:r>
        <w:t xml:space="preserve">expert review.</w:t>
      </w:r>
    </w:p>
    <w:p>
      <w:pPr>
        <w:pStyle w:val="ListBullet"/>
        <w:ind w:left="720" w:hanging="360"/>
      </w:pPr>
      <w:r>
        <w:t xml:space="preserve">Domain and interface annotations are incomplete and should not be treated as</w:t>
      </w:r>
    </w:p>
    <w:p>
      <w:r>
        <w:t xml:space="preserve">classification evidence.</w:t>
      </w:r>
    </w:p>
    <w:p>
      <w:pPr>
        <w:pStyle w:val="ListBullet"/>
        <w:ind w:left="720" w:hanging="360"/>
      </w:pPr>
      <w:r>
        <w:t xml:space="preserve">BS3 and PS3 require assay metadata to understand what biological mechanism was</w:t>
      </w:r>
    </w:p>
    <w:p>
      <w:r>
        <w:t xml:space="preserve">measured.</w:t>
      </w:r>
    </w:p>
    <w:p>
      <w:pPr>
        <w:pStyle w:val="ListBullet"/>
        <w:ind w:left="720" w:hanging="360"/>
      </w:pPr>
      <w:r>
        <w:t xml:space="preserve">The framework still needs validation against external curated classifications,</w:t>
      </w:r>
    </w:p>
    <w:p>
      <w:r>
        <w:t xml:space="preserve">such as ENIGMA, ClinVar high-review variants, EQA examples, or local expert review data.</w:t>
      </w:r>
    </w:p>
    <w:p>
      <w:pPr>
        <w:pStyle w:val="Heading2"/>
      </w:pPr>
      <w:r>
        <w:t xml:space="preserve">Conclusion</w:t>
      </w:r>
    </w:p>
    <w:p>
      <w:r>
        <w:t xml:space="preserve">The ARIANE Module 1 snapshot can be used to organize BRCA1/2 VUS into practical manual-review candidate groups. The framework does not predict pathogenicity and does not change any classification. Instead, it identifies VUS that are more informative to inspect first because they combine rule-based signals, splice signals, local pathogenic neighborhoods, domain/interface context, or evidence conflicts.</w:t>
      </w:r>
    </w:p>
    <w:p>
      <w:r>
        <w:t xml:space="preserve">The most useful output is a structured review queue. The next step is external validation against curated expert classifications and targeted review of the highest-priority candidate groups.</w:t>
      </w:r>
    </w:p>
    <w:p>
      <w:pPr>
        <w:pStyle w:val="Heading2"/>
      </w:pPr>
      <w:r>
        <w:t xml:space="preserve">Main Local Outputs Used</w:t>
      </w:r>
    </w:p>
    <w:p>
      <w:pPr>
        <w:pStyle w:val="ListBullet"/>
        <w:ind w:left="720" w:hanging="360"/>
      </w:pPr>
      <w:r>
        <w:t xml:space="preserve">tables/vus_prioritization/vus_priority_annotated.csv</w:t>
      </w:r>
    </w:p>
    <w:p>
      <w:pPr>
        <w:pStyle w:val="ListBullet"/>
        <w:ind w:left="720" w:hanging="360"/>
      </w:pPr>
      <w:r>
        <w:t xml:space="preserve">tables/vus_prioritization/vus_priority_top_by_category.csv</w:t>
      </w:r>
    </w:p>
    <w:p>
      <w:pPr>
        <w:pStyle w:val="ListBullet"/>
        <w:ind w:left="720" w:hanging="360"/>
      </w:pPr>
      <w:r>
        <w:t xml:space="preserve">tables/vus_bottleneck/vus_bottleneck_summary.csv</w:t>
      </w:r>
    </w:p>
    <w:p>
      <w:pPr>
        <w:pStyle w:val="ListBullet"/>
        <w:ind w:left="720" w:hanging="360"/>
      </w:pPr>
      <w:r>
        <w:t xml:space="preserve">tables/vus_pathogenic_regions/vus_pathogenic_region_top_candidates.csv</w:t>
      </w:r>
    </w:p>
    <w:p>
      <w:pPr>
        <w:pStyle w:val="ListBullet"/>
        <w:ind w:left="720" w:hanging="360"/>
      </w:pPr>
      <w:r>
        <w:t xml:space="preserve">tables/benign_counterexamples/benign_counterexamples.csv</w:t>
      </w:r>
    </w:p>
    <w:p>
      <w:pPr>
        <w:pStyle w:val="ListBullet"/>
        <w:ind w:left="720" w:hanging="360"/>
      </w:pPr>
      <w:r>
        <w:t xml:space="preserve">tables/bs3_domain_conflicts/bs3_domain_conflict_variants.csv</w:t>
      </w:r>
    </w:p>
    <w:p>
      <w:pPr>
        <w:pStyle w:val="ListBullet"/>
        <w:ind w:left="720" w:hanging="360"/>
      </w:pPr>
      <w:r>
        <w:t xml:space="preserve">vus_prioritization_report.md</w:t>
      </w:r>
    </w:p>
    <w:p>
      <w:pPr>
        <w:pStyle w:val="ListBullet"/>
        <w:ind w:left="720" w:hanging="360"/>
      </w:pPr>
      <w:r>
        <w:t xml:space="preserve">vus_bottleneck_report.md</w:t>
      </w:r>
    </w:p>
    <w:p>
      <w:pPr>
        <w:pStyle w:val="ListBullet"/>
        <w:ind w:left="720" w:hanging="360"/>
      </w:pPr>
      <w:r>
        <w:t xml:space="preserve">vus_pathogenic_region_report.md</w:t>
      </w:r>
    </w:p>
    <w:p>
      <w:pPr>
        <w:pStyle w:val="ListBullet"/>
        <w:ind w:left="720" w:hanging="360"/>
      </w:pPr>
      <w:r>
        <w:t xml:space="preserve">benign_counterexamples_report.md</w:t>
      </w:r>
    </w:p>
    <w:p>
      <w:pPr>
        <w:pStyle w:val="ListBullet"/>
        <w:ind w:left="720" w:hanging="360"/>
      </w:pPr>
      <w:r>
        <w:t xml:space="preserve">bs3_domain_conflict_report.md</w:t>
      </w:r>
    </w:p>
    <w:p>
      <w:pPr>
        <w:pStyle w:val="Heading2"/>
      </w:pPr>
      <w:r>
        <w:t xml:space="preserve">Embedded Figures</w:t>
      </w:r>
    </w:p>
    <w:p>
      <w:pPr>
        <w:pStyle w:val="Heading3"/>
      </w:pPr>
      <w:r>
        <w:t xml:space="preserve">Figure 1A. VUS priority score distribution</w:t>
      </w:r>
    </w:p>
    <w:p>
      <w:pPr>
        <w:jc w:val="center"/>
      </w:pPr>
      <w:r>
        <w:drawing>
          <wp:inline distT="0" distB="0" distL="0" distR="0">
            <wp:extent cx="5760720" cy="2728762"/>
            <wp:effectExtent l="0" t="0" r="0" b="0"/>
            <wp:docPr id="101" name="vus_priority_score_histogram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us_priority_score_histogram.sv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Figure 1B. Most common VUS priority reasons</w:t>
      </w:r>
    </w:p>
    <w:p>
      <w:pPr>
        <w:jc w:val="center"/>
      </w:pPr>
      <w:r>
        <w:drawing>
          <wp:inline distT="0" distB="0" distL="0" distR="0">
            <wp:extent cx="5760720" cy="2850040"/>
            <wp:effectExtent l="0" t="0" r="0" b="0"/>
            <wp:docPr id="102" name="vus_priority_reason_counts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us_priority_reason_counts.sv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Figure 2A. VUS pathogenic-region summary</w:t>
      </w:r>
    </w:p>
    <w:p>
      <w:pPr>
        <w:jc w:val="center"/>
      </w:pPr>
      <w:r>
        <w:drawing>
          <wp:inline distT="0" distB="0" distL="0" distR="0">
            <wp:extent cx="5760720" cy="2010373"/>
            <wp:effectExtent l="0" t="0" r="0" b="0"/>
            <wp:docPr id="103" name="vus_pathogenic_region_summary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vus_pathogenic_region_summary.sv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Figure 2B. VUS local neighborhood: pathogenic versus benign</w:t>
      </w:r>
    </w:p>
    <w:p>
      <w:pPr>
        <w:jc w:val="center"/>
      </w:pPr>
      <w:r>
        <w:drawing>
          <wp:inline distT="0" distB="0" distL="0" distR="0">
            <wp:extent cx="5760720" cy="4355666"/>
            <wp:effectExtent l="0" t="0" r="0" b="0"/>
            <wp:docPr id="104" name="vus_pathogenic_vs_benign_neighborhood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vus_pathogenic_vs_benign_neighborhood.sv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Figure 3. VUS bottleneck categories</w:t>
      </w:r>
    </w:p>
    <w:p>
      <w:pPr>
        <w:jc w:val="center"/>
      </w:pPr>
      <w:r>
        <w:drawing>
          <wp:inline distT="0" distB="0" distL="0" distR="0">
            <wp:extent cx="5760720" cy="2040661"/>
            <wp:effectExtent l="0" t="0" r="0" b="0"/>
            <wp:docPr id="105" name="vus_bottleneck_categories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vus_bottleneck_categories.sv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Figure 4A. Benign versus pathogenic feature rates</w:t>
      </w:r>
    </w:p>
    <w:p>
      <w:pPr>
        <w:jc w:val="center"/>
      </w:pPr>
      <w:r>
        <w:drawing>
          <wp:inline distT="0" distB="0" distL="0" distR="0">
            <wp:extent cx="5760720" cy="1896237"/>
            <wp:effectExtent l="0" t="0" r="0" b="0"/>
            <wp:docPr id="106" name="benign_vs_pathogenic_feature_comparison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benign_vs_pathogenic_feature_comparison.sv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Figure 4B. Benign counterexample tiers</w:t>
      </w:r>
    </w:p>
    <w:p>
      <w:pPr>
        <w:jc w:val="center"/>
      </w:pPr>
      <w:r>
        <w:drawing>
          <wp:inline distT="0" distB="0" distL="0" distR="0">
            <wp:extent cx="5760720" cy="1213866"/>
            <wp:effectExtent l="0" t="0" r="0" b="0"/>
            <wp:docPr id="107" name="tier_summary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tier_summary.sv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Figure 4C. BS3 benign variants by domain and mechanism</w:t>
      </w:r>
    </w:p>
    <w:p>
      <w:pPr>
        <w:jc w:val="center"/>
      </w:pPr>
      <w:r>
        <w:drawing>
          <wp:inline distT="0" distB="0" distL="0" distR="0">
            <wp:extent cx="5760720" cy="1792775"/>
            <wp:effectExtent l="0" t="0" r="0" b="0"/>
            <wp:docPr id="108" name="domain_mechanism_stacked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omain_mechanism_stacked.sv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80" w:right="900" w:bottom="108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qFormat/>
    <w:rPr>
      <w:b/>
      <w:sz w:val="34"/>
    </w:rPr>
  </w:style>
  <w:style w:type="paragraph" w:styleId="Heading2">
    <w:name w:val="heading 2"/>
    <w:qFormat/>
    <w:rPr>
      <w:b/>
      <w:sz w:val="28"/>
    </w:rPr>
  </w:style>
  <w:style w:type="paragraph" w:styleId="Heading3">
    <w:name w:val="heading 3"/>
    <w:qFormat/>
    <w:rPr>
      <w:b/>
      <w:sz w:val="24"/>
    </w:rPr>
  </w:style>
  <w:style w:type="paragraph" w:styleId="ListBullet">
    <w:name w:val="List Bullet"/>
    <w:qFormat/>
  </w:style>
  <w:style w:type="paragraph" w:styleId="ListNumber">
    <w:name w:val="List Number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vus_priority_score_histogram.svg"/><Relationship Id="rIdImg2" Type="http://schemas.openxmlformats.org/officeDocument/2006/relationships/image" Target="media/vus_priority_reason_counts.svg"/><Relationship Id="rIdImg3" Type="http://schemas.openxmlformats.org/officeDocument/2006/relationships/image" Target="media/vus_pathogenic_region_summary.svg"/><Relationship Id="rIdImg4" Type="http://schemas.openxmlformats.org/officeDocument/2006/relationships/image" Target="media/vus_pathogenic_vs_benign_neighborhood.svg"/><Relationship Id="rIdImg5" Type="http://schemas.openxmlformats.org/officeDocument/2006/relationships/image" Target="media/vus_bottleneck_categories.svg"/><Relationship Id="rIdImg6" Type="http://schemas.openxmlformats.org/officeDocument/2006/relationships/image" Target="media/benign_vs_pathogenic_feature_comparison.svg"/><Relationship Id="rIdImg7" Type="http://schemas.openxmlformats.org/officeDocument/2006/relationships/image" Target="media/tier_summary.svg"/><Relationship Id="rIdImg8" Type="http://schemas.openxmlformats.org/officeDocument/2006/relationships/image" Target="media/domain_mechanism_stacked.svg"/></Relationships>
</file>