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expert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truth, and it is not an independent clinical classification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expert-derived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report cited by ENIGMA Table 9.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truth.</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2"/>
      </w:pPr>
      <w:r>
        <w:t xml:space="preserve">Practical Curation Workflow</w:t>
      </w:r>
    </w:p>
    <w:p>
      <w:pPr>
        <w:pStyle w:val="ListNumber"/>
        <w:ind w:left="720" w:hanging="360"/>
      </w:pPr>
      <w:r>
        <w:t xml:space="preserve">Start with tier1_urgent and tier2_high VUS.</w:t>
      </w:r>
    </w:p>
    <w:p>
      <w:pPr>
        <w:pStyle w:val="ListNumber"/>
        <w:ind w:left="720" w:hanging="360"/>
      </w:pPr>
      <w:r>
        <w:t xml:space="preserve">Check whether the VUS belongs to a clear bottleneck category.</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expert classifications.</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independent clinical truth.</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expert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expert review data.</w:t>
      </w:r>
    </w:p>
    <w:p>
      <w:pPr>
        <w:pStyle w:val="Heading2"/>
      </w:pPr>
      <w:r>
        <w:t xml:space="preserve">Conclusion</w:t>
      </w:r>
    </w:p>
    <w:p>
      <w:r>
        <w:t xml:space="preserve">The ARIANE Module 1 snapshot can be used to organize BRCA1/2 VUS into practical manual-review candidate groups. The framework does not predict pathogenicity and does not change any classification. Instead, it identifies VUS that are more informative to inspect first because they combine rule-based signals, splice signals, local pathogenic neighborhoods, domain/interface context, or evidence conflicts.</w:t>
      </w:r>
    </w:p>
    <w:p>
      <w:r>
        <w:t xml:space="preserve">The most useful current output is a structured review queue for internal curation and method development. It is not yet a validated prioritization method. External validation against curated expert classifications, such as ENIGMA, ClinVar high-review variants, EQA examples, or local expert review data, is required before claiming that tier1/tier2 variants are truly more likely to be clinically resolvable or more useful to review first.</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s>
</file>