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For example, computational_signal_needs_noncomputational_support variants are good targets for RNA/splicing follow-up or curated clinical/laboratory assertion review, while PM2_only variants are usually not efficient first targets.</w:t>
      </w:r>
    </w:p>
    <w:p>
      <w:pPr>
        <w:pStyle w:val="Heading3"/>
      </w:pPr>
      <w:r>
        <w:t xml:space="preserve">Independent Functional Axis: Findlay SGE</w:t>
      </w:r>
    </w:p>
    <w:p>
      <w:r>
        <w:t xml:space="preserve">To avoid comparing the priority score only against ARIANE-derived labels, BRCA1 VUS were also compared with the continuous Findlay et al. 2018 saturation genome editing score where the data exist. This is a restricted external functional axis, mainly for BRCA1 RING and BRCT regions. It is not a complete clinical reference set, and there is no equivalent dense BRCA2 axis in the current analysis.</w:t>
      </w:r>
    </w:p>
    <w:p>
      <w:r>
        <w:t xml:space="preserve">Matched BRCA1 VUS with Findlay SGE rows: 673.</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key practical observation is that the highest-priority BRCA1 VUS in Findlay-covered regions are enriched for low function scores. This supports using them as review candidates where that functional axis exists. It does not prove the priority score is clinically correct, because the SGE assay measures a specific functional construct and does not cover all mechanisms or BRCA2.</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report cited by ENIGMA Table 9.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but not a complete clinical validation set. The evidence action-plan figure separates low-information variants from groups where RNA, functional, segregation, case-control, trans, or public assertion review is likely to be more informative.</w:t>
      </w:r>
    </w:p>
    <w:p>
      <w:pPr>
        <w:pStyle w:val="Heading2"/>
      </w:pPr>
      <w:r>
        <w:t xml:space="preserve">Practical Curation Workflow</w:t>
      </w:r>
    </w:p>
    <w:p>
      <w:pPr>
        <w:pStyle w:val="ListNumber"/>
        <w:ind w:left="720" w:hanging="360"/>
      </w:pPr>
      <w:r>
        <w:t xml:space="preserve">Start with tier1_urgent and tier2_high VUS.</w:t>
      </w:r>
    </w:p>
    <w:p>
      <w:pPr>
        <w:pStyle w:val="ListNumber"/>
        <w:ind w:left="720" w:hanging="360"/>
      </w:pPr>
      <w:r>
        <w:t xml:space="preserve">Check whether the VUS belongs to a clear bottleneck category.</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Heading2"/>
      </w:pPr>
      <w:r>
        <w:t xml:space="preserve">Conclusion</w:t>
      </w:r>
    </w:p>
    <w:p>
      <w:r>
        <w:t xml:space="preserve">The ARIANE Module 1 snapshot can be used to organize BRCA1/2 VUS into practical manual-review candidate groups. The framework does not predict pathogenicity and does not change any classification. Instead, it identifies VUS that are more informative to inspect first because they combine rule-based signals, splice signals, local pathogenic neighborhoods, domain/interface context, or evidence conflicts.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s>
</file>