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BRCA1 VUS were also compared with the continuous Findlay et al. 2018 saturation genome editing score where the data exist. This is a restricted functional axis, mainly for BRCA1 RING and BRCT regions. It is not a complete clinical reference set, and there is no equivalent dense BRCA2 axis in the current analysis. It is also not fully independent of the generated Module 1 map, because some local PS3/BS3 evidence in these regions is derived from the same Findlay SGE source.</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coarse, not monotonic. Tier4 is clearly more function-preserved or benign-leaning than the other tiers, but the Findlay axis does not validate the fine ordering tier1 over tier2 over tier3. In fact, tier3 contains the largest number and fraction of LOF-class variants: 303/365 tier3 VUS are LOF, compared with 6/9 in tier1 and 30/46 in tier2. Tier1 and tier2 also have small counts, so their medians are unstable.</w:t>
      </w:r>
    </w:p>
    <w:p>
      <w:r>
        <w:t xml:space="preserve">This exposes a useful review issue. Most tier3 LOF variants already have PS3: 302/303 tier3 LOF variants carry PS3, and the dominant criteria combo is PM2_Supporting+PS3. They remain tier3 because PS3 alone, or PS3+PM2_Supporting with weak context, does not reach the current tier1/tier2 review threshold unless splice, boundary, PS1, PP4, or stronger neighborhood signals are also present. The priority heuristic may therefore under-prioritize functionally damaging missense VUS that have PS3 but lack additional review signals.</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no public assertion is a source category, while no_public_classification is a worklist label. These counts differ here because 7 variants had no ClinVar record, while one additional variant had a ClinVar record but aggregate classification not provided.</w:t>
      </w:r>
    </w:p>
    <w:p>
      <w:r>
        <w:t xml:space="preserve">ClinVar lookup succeeded for 73/80 variants and found no public record for 7/80. ClinGen Evidence Repository lookup found ClinGen/ENIGMA assertions for 2/80 variants and returned not found for 78/80.</w:t>
      </w:r>
    </w:p>
    <w:p>
      <w:r>
        <w:t xml:space="preserve">This low ClinGen ERepo hit rate is expected, because ClinGen ERepo contains only a small BRCA1/2 subset. A manual check of the public ClinGen ERepo BRCA1/2 table showed:</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gridCol w:w="2400"/>
      </w:tblGrid>
      <w:tr>
        <w:tc>
          <w:tcPr>
            <w:tcW w:w="2400" w:type="dxa"/>
            <w:shd w:fill="EDEDED"/>
          </w:tcPr>
          <w:p>
            <w:r>
              <w:t xml:space="preserve">Gene</w:t>
            </w:r>
          </w:p>
        </w:tc>
        <w:tc>
          <w:tcPr>
            <w:tcW w:w="2400" w:type="dxa"/>
            <w:shd w:fill="EDEDED"/>
          </w:tcPr>
          <w:p>
            <w:r>
              <w:t xml:space="preserve">Total ERepo records</w:t>
            </w:r>
          </w:p>
        </w:tc>
        <w:tc>
          <w:tcPr>
            <w:tcW w:w="2400" w:type="dxa"/>
            <w:shd w:fill="EDEDED"/>
          </w:tcPr>
          <w:p>
            <w:r>
              <w:t xml:space="preserve">Pathogenic</w:t>
            </w:r>
          </w:p>
        </w:tc>
        <w:tc>
          <w:tcPr>
            <w:tcW w:w="2400" w:type="dxa"/>
            <w:shd w:fill="EDEDED"/>
          </w:tcPr>
          <w:p>
            <w:r>
              <w:t xml:space="preserve">Likely pathogenic</w:t>
            </w:r>
          </w:p>
        </w:tc>
        <w:tc>
          <w:tcPr>
            <w:tcW w:w="2400" w:type="dxa"/>
            <w:shd w:fill="EDEDED"/>
          </w:tcPr>
          <w:p>
            <w:r>
              <w:t xml:space="preserve">VUS</w:t>
            </w:r>
          </w:p>
        </w:tc>
        <w:tc>
          <w:tcPr>
            <w:tcW w:w="2400" w:type="dxa"/>
            <w:shd w:fill="EDEDED"/>
          </w:tcPr>
          <w:p>
            <w:r>
              <w:t xml:space="preserve">Likely benign</w:t>
            </w:r>
          </w:p>
        </w:tc>
        <w:tc>
          <w:tcPr>
            <w:tcW w:w="2400" w:type="dxa"/>
            <w:shd w:fill="EDEDED"/>
          </w:tcPr>
          <w:p>
            <w:r>
              <w:t xml:space="preserve">Benign</w:t>
            </w:r>
          </w:p>
        </w:tc>
      </w:tr>
      <w:tr>
        <w:tc>
          <w:tcPr>
            <w:tcW w:w="2400" w:type="dxa"/>
          </w:tcPr>
          <w:p>
            <w:r>
              <w:t xml:space="preserve">BRCA1</w:t>
            </w:r>
          </w:p>
        </w:tc>
        <w:tc>
          <w:tcPr>
            <w:tcW w:w="2400" w:type="dxa"/>
          </w:tcPr>
          <w:p>
            <w:r>
              <w:t xml:space="preserve">75</w:t>
            </w:r>
          </w:p>
        </w:tc>
        <w:tc>
          <w:tcPr>
            <w:tcW w:w="2400" w:type="dxa"/>
          </w:tcPr>
          <w:p>
            <w:r>
              <w:t xml:space="preserve">9</w:t>
            </w:r>
          </w:p>
        </w:tc>
        <w:tc>
          <w:tcPr>
            <w:tcW w:w="2400" w:type="dxa"/>
          </w:tcPr>
          <w:p>
            <w:r>
              <w:t xml:space="preserve">1</w:t>
            </w:r>
          </w:p>
        </w:tc>
        <w:tc>
          <w:tcPr>
            <w:tcW w:w="2400" w:type="dxa"/>
          </w:tcPr>
          <w:p>
            <w:r>
              <w:t xml:space="preserve">16</w:t>
            </w:r>
          </w:p>
        </w:tc>
        <w:tc>
          <w:tcPr>
            <w:tcW w:w="2400" w:type="dxa"/>
          </w:tcPr>
          <w:p>
            <w:r>
              <w:t xml:space="preserve">33</w:t>
            </w:r>
          </w:p>
        </w:tc>
        <w:tc>
          <w:tcPr>
            <w:tcW w:w="2400" w:type="dxa"/>
          </w:tcPr>
          <w:p>
            <w:r>
              <w:t xml:space="preserve">16</w:t>
            </w:r>
          </w:p>
        </w:tc>
      </w:tr>
      <w:tr>
        <w:tc>
          <w:tcPr>
            <w:tcW w:w="2400" w:type="dxa"/>
          </w:tcPr>
          <w:p>
            <w:r>
              <w:t xml:space="preserve">BRCA2</w:t>
            </w:r>
          </w:p>
        </w:tc>
        <w:tc>
          <w:tcPr>
            <w:tcW w:w="2400" w:type="dxa"/>
          </w:tcPr>
          <w:p>
            <w:r>
              <w:t xml:space="preserve">68</w:t>
            </w:r>
          </w:p>
        </w:tc>
        <w:tc>
          <w:tcPr>
            <w:tcW w:w="2400" w:type="dxa"/>
          </w:tcPr>
          <w:p>
            <w:r>
              <w:t xml:space="preserve">12</w:t>
            </w:r>
          </w:p>
        </w:tc>
        <w:tc>
          <w:tcPr>
            <w:tcW w:w="2400" w:type="dxa"/>
          </w:tcPr>
          <w:p>
            <w:r>
              <w:t xml:space="preserve">6</w:t>
            </w:r>
          </w:p>
        </w:tc>
        <w:tc>
          <w:tcPr>
            <w:tcW w:w="2400" w:type="dxa"/>
          </w:tcPr>
          <w:p>
            <w:r>
              <w:t xml:space="preserve">14</w:t>
            </w:r>
          </w:p>
        </w:tc>
        <w:tc>
          <w:tcPr>
            <w:tcW w:w="2400" w:type="dxa"/>
          </w:tcPr>
          <w:p>
            <w:r>
              <w:t xml:space="preserve">26</w:t>
            </w:r>
          </w:p>
        </w:tc>
        <w:tc>
          <w:tcPr>
            <w:tcW w:w="2400" w:type="dxa"/>
          </w:tcPr>
          <w:p>
            <w:r>
              <w:t xml:space="preserve">10</w:t>
            </w:r>
          </w:p>
        </w:tc>
      </w:tr>
    </w:tbl>
    <w:p>
      <w:r>
        <w:t xml:space="preserve">ClinGen ERepo entry point: https://erepo.clinicalgenome.org/evrepo/</w:t>
      </w:r>
    </w:p>
    <w:p>
      <w:r>
        <w:t xml:space="preserve">Therefore, clingen_status=not_found means not found in this small ERepo subset. It does not mean that no public or ENIGMA-linked interpretation exists; many expert-panel assertions are available through ClinVar instead.</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update cited by ENIGMA Table 9. The Dace/Findlay interim update is treated here as a Table 9 source citation, not as an independently verified standalone publication.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 The intermediate source was not independently verified here as a standalone publication.</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