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For example, computational_signal_needs_noncomputational_support variants are good targets for RNA/splicing follow-up or curated clinical/laboratory assertion review, while PM2_only variants are usually not efficient first targets.</w:t>
      </w:r>
    </w:p>
    <w:p>
      <w:pPr>
        <w:pStyle w:val="Heading3"/>
      </w:pPr>
      <w:r>
        <w:t xml:space="preserve">Independent Functional Axis: Findlay SGE</w:t>
      </w:r>
    </w:p>
    <w:p>
      <w:r>
        <w:t xml:space="preserve">BRCA1 VUS were also compared with the continuous Findlay et al. 2018 saturation genome editing score where the data exist. This is a restricted functional axis, mainly for BRCA1 RING and BRCT regions. It is not a complete clinical reference set, and there is no equivalent dense BRCA2 axis in the current analysis. It is also not fully independent of the generated Module 1 map, because some local PS3/BS3 evidence in these regions is derived from the same Findlay SGE source.</w:t>
      </w:r>
    </w:p>
    <w:p>
      <w:r>
        <w:t xml:space="preserve">Matched BRCA1 VUS with Findlay SGE rows: 673.</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key practical observation is coarse, not monotonic. Tier4 is clearly more function-preserved or benign-leaning than the other tiers, but the Findlay axis does not validate the fine ordering tier1 over tier2 over tier3. In fact, tier3 contains the largest number and fraction of LOF-class variants: 303/365 tier3 VUS are LOF, compared with 6/9 in tier1 and 30/46 in tier2. Tier1 and tier2 also have small counts, so their medians are unstable.</w:t>
      </w:r>
    </w:p>
    <w:p>
      <w:r>
        <w:t xml:space="preserve">This exposes a useful review issue. Most tier3 LOF variants already have PS3: 302/303 tier3 LOF variants carry PS3, and the dominant criteria combo is PM2_Supporting+PS3. They remain tier3 because PS3 alone, or PS3+PM2_Supporting with weak context, does not reach the current tier1/tier2 review threshold unless splice, boundary, PS1, PP4, or stronger neighborhood signals are also present. The priority heuristic may therefore under-prioritize functionally damaging missense VUS that have PS3 but lack additional review signals.</w:t>
      </w:r>
    </w:p>
    <w:p>
      <w:r>
        <w:t xml:space="preserve">Mechanically, this is a consequence of the current review-score weights: PS3 contributes 25 priority points and tier3_medium starts at 25 points. Therefore, a functionally damaging VUS whose main review signal is PS3 lands at the floor of tier3 by construction, while a high SpliceAI prediction receives 30 points. This suggests a concrete future sensitivity analysis: test whether direct functional LOF evidence should receive at least as much triage weight as a splice prediction, while still keeping classification evidence separate from review-priority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are describing the same practical queue from different angles. Review priority and distance to likely pathogenic are related, but not identical.</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but not a complete clinical validation set. The evidence action-plan figure separates low-information variants from groups where RNA, functional, segregation, case-control, trans, or public assertion review is likely to be more informative.</w:t>
      </w:r>
    </w:p>
    <w:p>
      <w:pPr>
        <w:pStyle w:val="Heading2"/>
      </w:pPr>
      <w:r>
        <w:t xml:space="preserve">Practical Curation Workflow</w:t>
      </w:r>
    </w:p>
    <w:p>
      <w:pPr>
        <w:pStyle w:val="ListNumber"/>
        <w:ind w:left="720" w:hanging="360"/>
      </w:pPr>
      <w:r>
        <w:t xml:space="preserve">Start with tier1_urgent and tier2_high VUS.</w:t>
      </w:r>
    </w:p>
    <w:p>
      <w:pPr>
        <w:pStyle w:val="ListNumber"/>
        <w:ind w:left="720" w:hanging="360"/>
      </w:pPr>
      <w:r>
        <w:t xml:space="preserve">Check whether the VUS belongs to a clear bottleneck category.</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Heading2"/>
      </w:pPr>
      <w:r>
        <w:t xml:space="preserve">Conclusion</w:t>
      </w:r>
    </w:p>
    <w:p>
      <w:r>
        <w:t xml:space="preserve">The ARIANE Module 1 snapshot can be used to organize BRCA1/2 VUS into practical manual-review candidate groups. The framework does not predict pathogenicity and does not change any classification. Instead, it identifies VUS that are more informative to inspect first because they combine rule-based signals, splice signals, local pathogenic neighborhoods, domain/interface context, or evidence conflicts.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s>
</file>