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Practical Value And Intended Use</w:t>
      </w:r>
    </w:p>
    <w:p>
      <w:r>
        <w:t xml:space="preserve">The practical purpose of this framework is to reduce the first-pass manual review burden. It separates low-information VUS from variants where additional evidence review is more likely to be informative, and it labels why each VUS is being prioritized.</w:t>
      </w:r>
    </w:p>
    <w:p>
      <w:r>
        <w:t xml:space="preserve">The expected value is:</w:t>
      </w:r>
    </w:p>
    <w:p>
      <w:pPr>
        <w:pStyle w:val="ListBullet"/>
        <w:ind w:left="720" w:hanging="360"/>
      </w:pPr>
      <w:r>
        <w:t xml:space="preserve">better ordering of curator effort across thousands of Module 1 VUS</w:t>
      </w:r>
    </w:p>
    <w:p>
      <w:pPr>
        <w:pStyle w:val="ListBullet"/>
        <w:ind w:left="720" w:hanging="360"/>
      </w:pPr>
      <w:r>
        <w:t xml:space="preserve">clearer labels for why a VUS is in the review queue</w:t>
      </w:r>
    </w:p>
    <w:p>
      <w:pPr>
        <w:pStyle w:val="ListBullet"/>
        <w:ind w:left="720" w:hanging="360"/>
      </w:pPr>
      <w:r>
        <w:t xml:space="preserve">early detection of evidence conflicts, such as BS3+PP3 or public assertion discordance</w:t>
      </w:r>
    </w:p>
    <w:p>
      <w:pPr>
        <w:pStyle w:val="ListBullet"/>
        <w:ind w:left="720" w:hanging="360"/>
      </w:pPr>
      <w:r>
        <w:t xml:space="preserve">separation of variant-level signals from neighborhood-driven context</w:t>
      </w:r>
    </w:p>
    <w:p>
      <w:pPr>
        <w:pStyle w:val="ListBullet"/>
        <w:ind w:left="720" w:hanging="360"/>
      </w:pPr>
      <w:r>
        <w:t xml:space="preserve">explicit identification of variants that are close to a likely pathogenic or likely benign evidence combination</w:t>
      </w:r>
    </w:p>
    <w:p>
      <w:r>
        <w:t xml:space="preserve">The framework is therefore an audit and triage layer. It is not intended to produce new clinical classifications by itself.</w:t>
      </w:r>
    </w:p>
    <w:p>
      <w:pPr>
        <w:pStyle w:val="Heading2"/>
      </w:pPr>
      <w:r>
        <w:t xml:space="preserve">Multiple Prioritization Queues</w:t>
      </w:r>
    </w:p>
    <w:p>
      <w:r>
        <w:t xml:space="preserve">VUS prioritization is not a single ranking problem. Different variants should be reviewed early for different reasons, and these reasons should not be mixed up with ACMG/ENIGMA evidence criteria. In this report, prioritization is treated as a set of review queues that help decide what a curator should open first.</w:t>
      </w:r>
    </w:p>
    <w:p>
      <w:r>
        <w:t xml:space="preserve">The main prioritization queues are:</w:t>
      </w:r>
    </w:p>
    <w:p>
      <w:pPr>
        <w:pStyle w:val="ListBullet"/>
        <w:ind w:left="720" w:hanging="360"/>
      </w:pPr>
      <w:r>
        <w:t xml:space="preserve">near-threshold variants: VUS that are one accepted evidence item away from a likely pathogenic or likely benign Module 1 combination</w:t>
      </w:r>
    </w:p>
    <w:p>
      <w:pPr>
        <w:pStyle w:val="ListBullet"/>
        <w:ind w:left="720" w:hanging="360"/>
      </w:pPr>
      <w:r>
        <w:t xml:space="preserve">splice/RNA review candidates: VUS with high SpliceAI signal, exon-boundary proximity, or a pattern where RNA evidence could resolve the uncertainty</w:t>
      </w:r>
    </w:p>
    <w:p>
      <w:pPr>
        <w:pStyle w:val="ListBullet"/>
        <w:ind w:left="720" w:hanging="360"/>
      </w:pPr>
      <w:r>
        <w:t xml:space="preserve">functional-evidence candidates: VUS with structured functional data, or VUS in regions where assay metadata and assay mechanism need careful review</w:t>
      </w:r>
    </w:p>
    <w:p>
      <w:pPr>
        <w:pStyle w:val="ListBullet"/>
        <w:ind w:left="720" w:hanging="360"/>
      </w:pPr>
      <w:r>
        <w:t xml:space="preserve">evidence-conflict candidates: VUS with opposing signals, such as functional benign evidence together with computational splice or protein-impact signal</w:t>
      </w:r>
    </w:p>
    <w:p>
      <w:pPr>
        <w:pStyle w:val="ListBullet"/>
        <w:ind w:left="720" w:hanging="360"/>
      </w:pPr>
      <w:r>
        <w:t xml:space="preserve">public-assertion candidates: VUS with ClinVar, ClinGen/ENIGMA assertion, submitter-discordance, or panel-level context that should be compared with the local Module 1 result</w:t>
      </w:r>
    </w:p>
    <w:p>
      <w:pPr>
        <w:pStyle w:val="ListBullet"/>
        <w:ind w:left="720" w:hanging="360"/>
      </w:pPr>
      <w:r>
        <w:t xml:space="preserve">neighborhood/context candidates: VUS located in regions enriched for generated pathogenic or benign Module 1 classifications</w:t>
      </w:r>
    </w:p>
    <w:p>
      <w:pPr>
        <w:pStyle w:val="ListBullet"/>
        <w:ind w:left="720" w:hanging="360"/>
      </w:pPr>
      <w:r>
        <w:t xml:space="preserve">low-information variants: usually PM2-only or otherwise weakly annotated VUS, where manual review may be lower yield unless external clinical, family, RNA, or functional data exist</w:t>
      </w:r>
    </w:p>
    <w:p>
      <w:r>
        <w:t xml:space="preserve">These queues can overlap. For example, a VUS may be both near a likely pathogenic threshold and located in a pathogenic neighborhood, or it may have a high SpliceAI score but also public benign assertions. The review label should therefore explain the reason for prioritization, not only the numeric rank.</w:t>
      </w:r>
    </w:p>
    <w:p>
      <w:r>
        <w:t xml:space="preserve">This is also why local pathogenic enrichment is used only as a context signal. It can make a VUS more interesting for manual review, but it cannot add points or replace accepted variant-level ACMG/ENIGMA evidence.</w:t>
      </w:r>
    </w:p>
    <w:p>
      <w:r>
        <w:t xml:space="preserve">This concept was also implemented as a separate queue-synthesis analysis. Each VUS was assigned to zero or more practical review queues: near threshold, splice/RNA, functional, evidence conflict, public assertion, neighborhood context, and low information. In the current snapshot, the largest queues were neighborhood context (6649 VUS), low information (5379 VUS), and splice/RNA (3291 VUS). Smaller but more actionable queues included functional evidence (836 VUS), near-threshold variants (637 VUS), public assertions (72 VUS), and explicit evidence conflicts (30 VUS).</w:t>
      </w:r>
    </w:p>
    <w:p>
      <w:r>
        <w:t xml:space="preserve">Most VUS belonged to more than one queue. This supports the core interpretation that a practical VUS worklist should be filtered by review question, not only sorted by one global priority score.</w:t>
      </w:r>
    </w:p>
    <w:p>
      <w:pPr>
        <w:pStyle w:val="Heading2"/>
      </w:pPr>
      <w:r>
        <w:t xml:space="preserve">Gene-Normalized Comparisons</w:t>
      </w:r>
    </w:p>
    <w:p>
      <w:r>
        <w:t xml:space="preserve">Several plots and summary tables initially combined BRCA1 and BRCA2. This is useful for a first overview, but raw combined counts can be misleading because BRCA2 contributes more generated coding SNVs than BRCA1 in the current snapshot. Cross-gene comparisons should therefore use within-gene percentages or rates per 1000 generated variants, and VUS worklist comparisons should use rates per 1000 VUS in each gene.</w:t>
      </w:r>
    </w:p>
    <w:p>
      <w:r>
        <w:t xml:space="preserve">A gene-normalized layer was added for the combined analyses. In the current snapshot:</w:t>
      </w:r>
    </w:p>
    <w:p>
      <w:pPr>
        <w:pStyle w:val="ListBullet"/>
        <w:ind w:left="720" w:hanging="360"/>
      </w:pPr>
      <w:r>
        <w:t xml:space="preserve">BRCA1 contributes 16776 generated coding SNVs and 1625 VUS.</w:t>
      </w:r>
    </w:p>
    <w:p>
      <w:pPr>
        <w:pStyle w:val="ListBullet"/>
        <w:ind w:left="720" w:hanging="360"/>
      </w:pPr>
      <w:r>
        <w:t xml:space="preserve">BRCA2 contributes 30771 generated coding SNVs and 6529 VUS.</w:t>
      </w:r>
    </w:p>
    <w:p>
      <w:pPr>
        <w:pStyle w:val="ListBullet"/>
        <w:ind w:left="720" w:hanging="360"/>
      </w:pPr>
      <w:r>
        <w:t xml:space="preserve">Generated pathogenic classes 4/5 are similar after normalization: BRCA1 52.28 per 1000 generated SNVs, BRCA2 50.83 per 1000 generated SNVs.</w:t>
      </w:r>
    </w:p>
    <w:p>
      <w:pPr>
        <w:pStyle w:val="ListBullet"/>
        <w:ind w:left="720" w:hanging="360"/>
      </w:pPr>
      <w:r>
        <w:t xml:space="preserve">VUS are much more frequent in BRCA2 after normalization: BRCA1 96.86 per 1000 generated SNVs, BRCA2 212.18 per 1000 generated SNVs.</w:t>
      </w:r>
    </w:p>
    <w:p>
      <w:pPr>
        <w:pStyle w:val="ListBullet"/>
        <w:ind w:left="720" w:hanging="360"/>
      </w:pPr>
      <w:r>
        <w:t xml:space="preserve">Among VUS, near-threshold queue membership is much more frequent in BRCA1: BRCA1 288.00 per 1000 VUS, BRCA2 25.88 per 1000 VUS.</w:t>
      </w:r>
    </w:p>
    <w:p>
      <w:pPr>
        <w:pStyle w:val="ListBullet"/>
        <w:ind w:left="720" w:hanging="360"/>
      </w:pPr>
      <w:r>
        <w:t xml:space="preserve">Among VUS, functional-queue membership is also much more frequent in BRCA1: BRCA1 420.92 per 1000 VUS, BRCA2 23.28 per 1000 VUS. This likely reflects available structured BRCA1 functional evidence, not necessarily a true biological difference.</w:t>
      </w:r>
    </w:p>
    <w:p>
      <w:pPr>
        <w:pStyle w:val="ListBullet"/>
        <w:ind w:left="720" w:hanging="360"/>
      </w:pPr>
      <w:r>
        <w:t xml:space="preserve">Low-information VUS are more frequent in BRCA2: BRCA1 478.15 per 1000 VUS, BRCA2 704.86 per 1000 VUS.</w:t>
      </w:r>
    </w:p>
    <w:p>
      <w:r>
        <w:t xml:space="preserve">The normalized results change how the combined analyses should be read. For example, a combined VUS queue can look large because BRCA2 contributes more VUS, while actionability signals such as structured functional evidence and near-threshold combinations are concentrated in BRCA1 in this snapshot.</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Variants whose only pathogenic-direction signal is a computational splice prediction are good targets for RNA or functional follow-up. Variants with nothing beyond population absence are usually not efficient first-pass targets unless public, literature, or local laboratory evidence already exists.</w:t>
      </w:r>
    </w:p>
    <w:p>
      <w:pPr>
        <w:pStyle w:val="Heading3"/>
      </w:pPr>
      <w:r>
        <w:t xml:space="preserve">Independent Functional Axis: Findlay SGE</w:t>
      </w:r>
    </w:p>
    <w:p>
      <w:r>
        <w:t xml:space="preserve">For the one setting with dense functional data, the BRCA1 RING and BRCT regions, the priority score can be checked against a continuous saturation genome editing score from Findlay et al. 2018. The check is only partial. There is no comparable dense axis for BRCA2, and even here the independence is imperfect because some local PS3 and BS3 evidence comes from the same SGE dataset. With that caveat, 673 BRCA1 VUS could be matched to an SGE score.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agreement is only coarse. Tier4 stands apart as the more function-preserved, benign-leaning group, so the score separates out many cases least worth reviewing first. The finer ordering is not supported. Tier3, not tier1 or tier2, contains the largest number and fraction of LOF-class variants: 303 of 365 tier3 VUS are LOF, compared with 6 of 9 in tier1 and 30 of 46 in tier2. The tier1 and tier2 counts are small, so their medians should not be overread.</w:t>
      </w:r>
    </w:p>
    <w:p>
      <w:r>
        <w:t xml:space="preserve">This inversion is the informative part. Almost all of those tier3 LOF variants, 302 of 303, already carry PS3 in the combination PM2_Supporting+PS3. They sit in tier3 not because the evidence is weak, but because of how the review score is built. PS3 is worth 25 priority points, and tier3 begins at 25, so a variant whose strongest signal is measured functional damage lands at the floor of tier3 by construction. A high SpliceAI prediction scores 30 and reaches a higher tier. As currently weighted, the review score can place measured loss of function below a predicted splice effect.</w:t>
      </w:r>
    </w:p>
    <w:p>
      <w:r>
        <w:t xml:space="preserve">This points to a concrete sensitivity test for a later version: whether direct functional evidence should carry at least as much triage weight as a prediction, with review-priority weighting kept separate from classification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describe the same practical queue from different angles. Review priority and proximity to likely pathogenic are correlated, but they are not the same measurement. These 302 variants are the main place where the two disagree.</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Does Positional Context Add Independent Information?</w:t>
      </w:r>
    </w:p>
    <w:p>
      <w:r>
        <w:t xml:space="preserve">The positional analyses answer one central question: does local pathogenic enrichment add information beyond the variant-level criteria already present in Module 1?</w:t>
      </w:r>
    </w:p>
    <w:p>
      <w:r>
        <w:t xml:space="preserve">The short answer is mostly no. Local context is useful for prioritization, visual triage, and mechanism review, but it should not be treated as an independent evidence criterion. After decomposing truncation, splice/PP3, and functional-evidence drivers, the apparent regional pathogenic signal is largely explained by variant-level criteria already present in the map.</w:t>
      </w:r>
    </w:p>
    <w:p>
      <w:r>
        <w:t xml:space="preserve">This is still useful. It tells the curator what kind of mechanism dominates near a VUS: truncation, splice, functional evidence, or a mixture. The result is a prompt for review, not a new source of ACMG/ENIGMA points.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r>
        <w:t xml:space="preserve">For a reader-facing manuscript, the main figures should emphasize synthesis rather than every exploratory diagnostic plot. Conceptual and decision-facing figures should stay in the main text. Dense diagnostic tracks and exploratory scatter plots can move to a supplement unless they are accompanied by a clear take-home message.</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while the evidence action-plan figure separates low-information variants from groups where RNA, functional, segregation, case-control, trans, or public assertion review is likely to be more informative.</w:t>
      </w:r>
    </w:p>
    <w:p>
      <w:pPr>
        <w:pStyle w:val="Heading3"/>
      </w:pPr>
      <w:r>
        <w:t xml:space="preserve">Figure 9: Overlapping Priority Queues</w:t>
      </w:r>
    </w:p>
    <w:p>
      <w:r>
        <w:t xml:space="preserve">Suggested source files:</w:t>
      </w:r>
    </w:p>
    <w:p>
      <w:pPr>
        <w:pStyle w:val="ListBullet"/>
        <w:ind w:left="720" w:hanging="360"/>
      </w:pPr>
      <w:r>
        <w:t xml:space="preserve">plots/30_priority_queue_synthesis/priority_queue_counts.svg</w:t>
      </w:r>
    </w:p>
    <w:p>
      <w:pPr>
        <w:pStyle w:val="ListBullet"/>
        <w:ind w:left="720" w:hanging="360"/>
      </w:pPr>
      <w:r>
        <w:t xml:space="preserve">plots/30_priority_queue_synthesis/priority_queue_overlap.svg</w:t>
      </w:r>
    </w:p>
    <w:p>
      <w:r>
        <w:t xml:space="preserve">Message: VUS prioritization is not a single ranking problem. A VUS can be in a splice/RNA queue, a near-threshold queue, a public-assertion queue, a conflict queue, or several of these at once. The overlap plot should be used to explain why the review question must be explicit before selecting a candidate list.</w:t>
      </w:r>
    </w:p>
    <w:p>
      <w:pPr>
        <w:pStyle w:val="Heading3"/>
      </w:pPr>
      <w:r>
        <w:t xml:space="preserve">Figure 10: Gene-Normalized Comparisons</w:t>
      </w:r>
    </w:p>
    <w:p>
      <w:r>
        <w:t xml:space="preserve">Suggested source files:</w:t>
      </w:r>
    </w:p>
    <w:p>
      <w:pPr>
        <w:pStyle w:val="ListBullet"/>
        <w:ind w:left="720" w:hanging="360"/>
      </w:pPr>
      <w:r>
        <w:t xml:space="preserve">plots/01_overview/gene_normalized_grouped_class_distribution_heatmap.svg</w:t>
      </w:r>
    </w:p>
    <w:p>
      <w:pPr>
        <w:pStyle w:val="ListBullet"/>
        <w:ind w:left="720" w:hanging="360"/>
      </w:pPr>
      <w:r>
        <w:t xml:space="preserve">plots/01_overview/gene_normalized_criteria_rate_heatmap.svg</w:t>
      </w:r>
    </w:p>
    <w:p>
      <w:pPr>
        <w:pStyle w:val="ListBullet"/>
        <w:ind w:left="720" w:hanging="360"/>
      </w:pPr>
      <w:r>
        <w:t xml:space="preserve">plots/31_cross_gene_normalized/gene_normalized_grouped_class_per_1000.svg</w:t>
      </w:r>
    </w:p>
    <w:p>
      <w:pPr>
        <w:pStyle w:val="ListBullet"/>
        <w:ind w:left="720" w:hanging="360"/>
      </w:pPr>
      <w:r>
        <w:t xml:space="preserve">plots/31_cross_gene_normalized/gene_normalized_priority_queues_per_1000_vus.svg</w:t>
      </w:r>
    </w:p>
    <w:p>
      <w:pPr>
        <w:pStyle w:val="ListBullet"/>
        <w:ind w:left="720" w:hanging="360"/>
      </w:pPr>
      <w:r>
        <w:t xml:space="preserve">plots/31_cross_gene_normalized/gene_normalized_evidence_action_groups_per_1000_vus.svg</w:t>
      </w:r>
    </w:p>
    <w:p>
      <w:r>
        <w:t xml:space="preserve">Message: BRCA1 and BRCA2 should not be compared by raw combined counts alone. BRCA2 contributes more generated coding SNVs and many more VUS, while BRCA1 has a much higher rate of near-threshold and functional-evidence queue membership among VUS. These differences are part of the generated Module 1 map and may reflect gene structure, evidence availability, and rule implementation.</w:t>
      </w:r>
    </w:p>
    <w:p>
      <w:pPr>
        <w:pStyle w:val="Heading2"/>
      </w:pPr>
      <w:r>
        <w:t xml:space="preserve">Worked Variant Examples</w:t>
      </w:r>
    </w:p>
    <w:p>
      <w:r>
        <w:t xml:space="preserve">The table below illustrates how the framework is intended to guide manual review. These examples are not reclassifications; they show what a curator would open next and why.</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tblGrid>
      <w:tr>
        <w:tc>
          <w:tcPr>
            <w:tcW w:w="2400" w:type="dxa"/>
            <w:shd w:fill="EDEDED"/>
          </w:tcPr>
          <w:p>
            <w:r>
              <w:t xml:space="preserve">Example group</w:t>
            </w:r>
          </w:p>
        </w:tc>
        <w:tc>
          <w:tcPr>
            <w:tcW w:w="2400" w:type="dxa"/>
            <w:shd w:fill="EDEDED"/>
          </w:tcPr>
          <w:p>
            <w:r>
              <w:t xml:space="preserve">Variant</w:t>
            </w:r>
          </w:p>
        </w:tc>
        <w:tc>
          <w:tcPr>
            <w:tcW w:w="2400" w:type="dxa"/>
            <w:shd w:fill="EDEDED"/>
          </w:tcPr>
          <w:p>
            <w:r>
              <w:t xml:space="preserve">Why it is prioritized</w:t>
            </w:r>
          </w:p>
        </w:tc>
        <w:tc>
          <w:tcPr>
            <w:tcW w:w="2400" w:type="dxa"/>
            <w:shd w:fill="EDEDED"/>
          </w:tcPr>
          <w:p>
            <w:r>
              <w:t xml:space="preserve">What the curator would open</w:t>
            </w:r>
          </w:p>
        </w:tc>
        <w:tc>
          <w:tcPr>
            <w:tcW w:w="2400" w:type="dxa"/>
            <w:shd w:fill="EDEDED"/>
          </w:tcPr>
          <w:p>
            <w:r>
              <w:t xml:space="preserve">Missing or clarifying evidence</w:t>
            </w:r>
          </w:p>
        </w:tc>
      </w:tr>
      <w:tr>
        <w:tc>
          <w:tcPr>
            <w:tcW w:w="2400" w:type="dxa"/>
          </w:tcPr>
          <w:p>
            <w:r>
              <w:t xml:space="preserve">High SpliceAI near boundary</w:t>
            </w:r>
          </w:p>
        </w:tc>
        <w:tc>
          <w:tcPr>
            <w:tcW w:w="2400" w:type="dxa"/>
          </w:tcPr>
          <w:p>
            <w:r>
              <w:t xml:space="preserve">BRCA2 c.1909G&gt;T p.(Gly637Cys)</w:t>
            </w:r>
          </w:p>
        </w:tc>
        <w:tc>
          <w:tcPr>
            <w:tcW w:w="2400" w:type="dxa"/>
          </w:tcPr>
          <w:p>
            <w:r>
              <w:t xml:space="preserve">SpliceAI 0.970, within 2 bp boundary, PP3, dense local context</w:t>
            </w:r>
          </w:p>
        </w:tc>
        <w:tc>
          <w:tcPr>
            <w:tcW w:w="2400" w:type="dxa"/>
          </w:tcPr>
          <w:p>
            <w:r>
              <w:t xml:space="preserve">transcript-specific splice prediction, RNA evidence, exon boundary context, public assertions</w:t>
            </w:r>
          </w:p>
        </w:tc>
        <w:tc>
          <w:tcPr>
            <w:tcW w:w="2400" w:type="dxa"/>
          </w:tcPr>
          <w:p>
            <w:r>
              <w:t xml:space="preserve">RNA/splicing evidence or other accepted non-computational support</w:t>
            </w:r>
          </w:p>
        </w:tc>
      </w:tr>
      <w:tr>
        <w:tc>
          <w:tcPr>
            <w:tcW w:w="2400" w:type="dxa"/>
          </w:tcPr>
          <w:p>
            <w:r>
              <w:t xml:space="preserve">PS3+PM2 one-step-short</w:t>
            </w:r>
          </w:p>
        </w:tc>
        <w:tc>
          <w:tcPr>
            <w:tcW w:w="2400" w:type="dxa"/>
          </w:tcPr>
          <w:p>
            <w:r>
              <w:t xml:space="preserve">BRCA1 c.190T&gt;G p.(Cys64Gly)</w:t>
            </w:r>
          </w:p>
        </w:tc>
        <w:tc>
          <w:tcPr>
            <w:tcW w:w="2400" w:type="dxa"/>
          </w:tcPr>
          <w:p>
            <w:r>
              <w:t xml:space="preserve">PS3+PP3, Findlay LOF, public pathogenic-direction context, near pathogenic threshold</w:t>
            </w:r>
          </w:p>
        </w:tc>
        <w:tc>
          <w:tcPr>
            <w:tcW w:w="2400" w:type="dxa"/>
          </w:tcPr>
          <w:p>
            <w:r>
              <w:t xml:space="preserve">functional evidence trace, public ClinVar/submitter evidence, PS4/PP1/PM3/RNA availability</w:t>
            </w:r>
          </w:p>
        </w:tc>
        <w:tc>
          <w:tcPr>
            <w:tcW w:w="2400" w:type="dxa"/>
          </w:tcPr>
          <w:p>
            <w:r>
              <w:t xml:space="preserve">one independent pathogenic evidence item or curated assertion support</w:t>
            </w:r>
          </w:p>
        </w:tc>
      </w:tr>
      <w:tr>
        <w:tc>
          <w:tcPr>
            <w:tcW w:w="2400" w:type="dxa"/>
          </w:tcPr>
          <w:p>
            <w:r>
              <w:t xml:space="preserve">Benign/pathogenic evidence conflict</w:t>
            </w:r>
          </w:p>
        </w:tc>
        <w:tc>
          <w:tcPr>
            <w:tcW w:w="2400" w:type="dxa"/>
          </w:tcPr>
          <w:p>
            <w:r>
              <w:t xml:space="preserve">BRCA1 c.5044G&gt;A p.(Glu1682Lys)</w:t>
            </w:r>
          </w:p>
        </w:tc>
        <w:tc>
          <w:tcPr>
            <w:tcW w:w="2400" w:type="dxa"/>
          </w:tcPr>
          <w:p>
            <w:r>
              <w:t xml:space="preserve">BP5+PM2_Supporting+PP3+PS3, high SpliceAI, ClinVar expert-panel benign assertion</w:t>
            </w:r>
          </w:p>
        </w:tc>
        <w:tc>
          <w:tcPr>
            <w:tcW w:w="2400" w:type="dxa"/>
          </w:tcPr>
          <w:p>
            <w:r>
              <w:t xml:space="preserve">multifactorial LR source, functional assay metadata, splice relevance, submitter assertions</w:t>
            </w:r>
          </w:p>
        </w:tc>
        <w:tc>
          <w:tcPr>
            <w:tcW w:w="2400" w:type="dxa"/>
          </w:tcPr>
          <w:p>
            <w:r>
              <w:t xml:space="preserve">manual adjudication of mixed benign and pathogenic evidence</w:t>
            </w:r>
          </w:p>
        </w:tc>
      </w:tr>
      <w:tr>
        <w:tc>
          <w:tcPr>
            <w:tcW w:w="2400" w:type="dxa"/>
          </w:tcPr>
          <w:p>
            <w:r>
              <w:t xml:space="preserve">Neighborhood-driven context</w:t>
            </w:r>
          </w:p>
        </w:tc>
        <w:tc>
          <w:tcPr>
            <w:tcW w:w="2400" w:type="dxa"/>
          </w:tcPr>
          <w:p>
            <w:r>
              <w:t xml:space="preserve">BRCA1 c.5014C&gt;G p.(His1672Asp)</w:t>
            </w:r>
          </w:p>
        </w:tc>
        <w:tc>
          <w:tcPr>
            <w:tcW w:w="2400" w:type="dxa"/>
          </w:tcPr>
          <w:p>
            <w:r>
              <w:t xml:space="preserve">near pathogenic dense region, but only PM2_Supporting and low score</w:t>
            </w:r>
          </w:p>
        </w:tc>
        <w:tc>
          <w:tcPr>
            <w:tcW w:w="2400" w:type="dxa"/>
          </w:tcPr>
          <w:p>
            <w:r>
              <w:t xml:space="preserve">nearby variant mechanisms, whether local context is driven by truncation/splice/functional evidence</w:t>
            </w:r>
          </w:p>
        </w:tc>
        <w:tc>
          <w:tcPr>
            <w:tcW w:w="2400" w:type="dxa"/>
          </w:tcPr>
          <w:p>
            <w:r>
              <w:t xml:space="preserve">true variant-level evidence; local context alone should not add points</w:t>
            </w:r>
          </w:p>
        </w:tc>
      </w:tr>
      <w:tr>
        <w:tc>
          <w:tcPr>
            <w:tcW w:w="2400" w:type="dxa"/>
          </w:tcPr>
          <w:p>
            <w:r>
              <w:t xml:space="preserve">Low-information PM2-only</w:t>
            </w:r>
          </w:p>
        </w:tc>
        <w:tc>
          <w:tcPr>
            <w:tcW w:w="2400" w:type="dxa"/>
          </w:tcPr>
          <w:p>
            <w:r>
              <w:t xml:space="preserve">BRCA1 c.2642A&gt;T p.(Glu881Val)</w:t>
            </w:r>
          </w:p>
        </w:tc>
        <w:tc>
          <w:tcPr>
            <w:tcW w:w="2400" w:type="dxa"/>
          </w:tcPr>
          <w:p>
            <w:r>
              <w:t xml:space="preserve">PM2_Supporting only, tier4 low priority</w:t>
            </w:r>
          </w:p>
        </w:tc>
        <w:tc>
          <w:tcPr>
            <w:tcW w:w="2400" w:type="dxa"/>
          </w:tcPr>
          <w:p>
            <w:r>
              <w:t xml:space="preserve">public assertions, literature, local lab observations if available</w:t>
            </w:r>
          </w:p>
        </w:tc>
        <w:tc>
          <w:tcPr>
            <w:tcW w:w="2400" w:type="dxa"/>
          </w:tcPr>
          <w:p>
            <w:r>
              <w:t xml:space="preserve">any independent evidence; otherwise low first-pass review yield</w:t>
            </w:r>
          </w:p>
        </w:tc>
      </w:tr>
    </w:tbl>
    <w:p>
      <w:pPr>
        <w:pStyle w:val="Heading2"/>
      </w:pPr>
      <w:r>
        <w:t xml:space="preserve">Practical Curation Workflow</w:t>
      </w:r>
    </w:p>
    <w:p>
      <w:pPr>
        <w:pStyle w:val="ListNumber"/>
        <w:ind w:left="720" w:hanging="360"/>
      </w:pPr>
      <w:r>
        <w:t xml:space="preserve">Start with tier1_urgent and tier2_high VUS, but also pull the near-pathogenic-threshold group even when it sits in tier3. This especially applies to PM2_Supporting+PS3 variants: the Findlay SGE analysis shows that many are functionally LOF and one evidence item short.</w:t>
      </w:r>
    </w:p>
    <w:p>
      <w:pPr>
        <w:pStyle w:val="ListNumber"/>
        <w:ind w:left="720" w:hanging="360"/>
      </w:pPr>
      <w:r>
        <w:t xml:space="preserve">Check whether the VUS belongs to a clear bottleneck category.</w:t>
      </w:r>
    </w:p>
    <w:p>
      <w:pPr>
        <w:pStyle w:val="ListNumber"/>
        <w:ind w:left="720" w:hanging="360"/>
      </w:pPr>
      <w:r>
        <w:t xml:space="preserve">Separate "high review priority" from "close to likely pathogenic"; these are related, but the PS3-driven tier3 group shows that they are not identical.</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ListBullet"/>
        <w:ind w:left="720" w:hanging="360"/>
      </w:pPr>
      <w:r>
        <w:t xml:space="preserve">A practical validation step is still missing: a small review-yield pilot comparing tier1/tier2, tier3, and tier4/PM2-only variants. The relevant outcome is not automatic reclassification, but whether manual review finds actionable external evidence more often in the higher-priority groups.</w:t>
      </w:r>
    </w:p>
    <w:p>
      <w:pPr>
        <w:pStyle w:val="Heading2"/>
      </w:pPr>
      <w:r>
        <w:t xml:space="preserve">Conclusion</w:t>
      </w:r>
    </w:p>
    <w:p>
      <w:r>
        <w:t xml:space="preserve">The strongest current use of the ARIANE Module 1 snapshot is an auditable manual-review queue. It separates variant-level signals, neighborhood-driven context, and evidence-conflict cases, without turning those signals into new classification criteria. This gives curators a more systematic first pass through thousands of BRCA1/2 VUS.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r>
        <w:t xml:space="preserve">A realistic next validation would measure review yield: for example, manually review 30 tier1/tier2 variants, 30 tier3 variants, and 30 tier4 or PM2-only variants, then compare how often actionable external evidence is found.</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tables/priority_queue_synthesis/priority_queue_synthesis_variants.csv</w:t>
      </w:r>
    </w:p>
    <w:p>
      <w:pPr>
        <w:pStyle w:val="ListBullet"/>
        <w:ind w:left="720" w:hanging="360"/>
      </w:pPr>
      <w:r>
        <w:t xml:space="preserve">tables/priority_queue_synthesis/priority_queue_counts.csv</w:t>
      </w:r>
    </w:p>
    <w:p>
      <w:pPr>
        <w:pStyle w:val="ListBullet"/>
        <w:ind w:left="720" w:hanging="360"/>
      </w:pPr>
      <w:r>
        <w:t xml:space="preserve">tables/priority_queue_synthesis/priority_queue_overlap.csv</w:t>
      </w:r>
    </w:p>
    <w:p>
      <w:pPr>
        <w:pStyle w:val="ListBullet"/>
        <w:ind w:left="720" w:hanging="360"/>
      </w:pPr>
      <w:r>
        <w:t xml:space="preserve">tables/cross_gene_normalized/gene_normalized_grouped_class_distribution.csv</w:t>
      </w:r>
    </w:p>
    <w:p>
      <w:pPr>
        <w:pStyle w:val="ListBullet"/>
        <w:ind w:left="720" w:hanging="360"/>
      </w:pPr>
      <w:r>
        <w:t xml:space="preserve">tables/cross_gene_normalized/gene_normalized_priority_queues.csv</w:t>
      </w:r>
    </w:p>
    <w:p>
      <w:pPr>
        <w:pStyle w:val="ListBullet"/>
        <w:ind w:left="720" w:hanging="360"/>
      </w:pPr>
      <w:r>
        <w:t xml:space="preserve">tables/cross_gene_normalized/gene_normalized_evidence_action_groups.csv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ListBullet"/>
        <w:ind w:left="720" w:hanging="360"/>
      </w:pPr>
      <w:r>
        <w:t xml:space="preserve">priority_queue_synthesis_report.md</w:t>
      </w:r>
    </w:p>
    <w:p>
      <w:pPr>
        <w:pStyle w:val="ListBullet"/>
        <w:ind w:left="720" w:hanging="360"/>
      </w:pPr>
      <w:r>
        <w:t xml:space="preserve">cross_gene_normalized_report.md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p>
      <w:pPr>
        <w:pStyle w:val="Heading3"/>
      </w:pPr>
      <w:r>
        <w:t xml:space="preserve">Figure 9A. Overlapping VUS review queues</w:t>
      </w:r>
    </w:p>
    <w:p>
      <w:pPr>
        <w:jc w:val="center"/>
      </w:pPr>
      <w:r>
        <w:drawing>
          <wp:inline distT="0" distB="0" distL="0" distR="0">
            <wp:extent cx="5760720" cy="2586445"/>
            <wp:effectExtent l="0" t="0" r="0" b="0"/>
            <wp:docPr id="123" name="priority_queue_counts.svg"/>
            <wp:cNvGraphicFramePr>
              <a:graphicFrameLocks noChangeAspect="1"/>
            </wp:cNvGraphicFramePr>
            <a:graphic>
              <a:graphicData uri="http://schemas.openxmlformats.org/drawingml/2006/picture">
                <pic:pic>
                  <pic:nvPicPr>
                    <pic:cNvPr id="123" name="priority_queue_counts.svg"/>
                    <pic:cNvPicPr/>
                  </pic:nvPicPr>
                  <pic:blipFill>
                    <a:blip r:embed="rIdImg23"/>
                    <a:stretch>
                      <a:fillRect/>
                    </a:stretch>
                  </pic:blipFill>
                  <pic:spPr>
                    <a:xfrm>
                      <a:off x="0" y="0"/>
                      <a:ext cx="5760720" cy="2586445"/>
                    </a:xfrm>
                    <a:prstGeom prst="rect">
                      <a:avLst/>
                    </a:prstGeom>
                  </pic:spPr>
                </pic:pic>
              </a:graphicData>
            </a:graphic>
          </wp:inline>
        </w:drawing>
      </w:r>
    </w:p>
    <w:p>
      <w:pPr>
        <w:pStyle w:val="Heading3"/>
      </w:pPr>
      <w:r>
        <w:t xml:space="preserve">Figure 9B. Priority queue overlap</w:t>
      </w:r>
    </w:p>
    <w:p>
      <w:pPr>
        <w:jc w:val="center"/>
      </w:pPr>
      <w:r>
        <w:drawing>
          <wp:inline distT="0" distB="0" distL="0" distR="0">
            <wp:extent cx="5760720" cy="4992624"/>
            <wp:effectExtent l="0" t="0" r="0" b="0"/>
            <wp:docPr id="124" name="priority_queue_overlap.svg"/>
            <wp:cNvGraphicFramePr>
              <a:graphicFrameLocks noChangeAspect="1"/>
            </wp:cNvGraphicFramePr>
            <a:graphic>
              <a:graphicData uri="http://schemas.openxmlformats.org/drawingml/2006/picture">
                <pic:pic>
                  <pic:nvPicPr>
                    <pic:cNvPr id="124" name="priority_queue_overlap.svg"/>
                    <pic:cNvPicPr/>
                  </pic:nvPicPr>
                  <pic:blipFill>
                    <a:blip r:embed="rIdImg24"/>
                    <a:stretch>
                      <a:fillRect/>
                    </a:stretch>
                  </pic:blipFill>
                  <pic:spPr>
                    <a:xfrm>
                      <a:off x="0" y="0"/>
                      <a:ext cx="5760720" cy="4992624"/>
                    </a:xfrm>
                    <a:prstGeom prst="rect">
                      <a:avLst/>
                    </a:prstGeom>
                  </pic:spPr>
                </pic:pic>
              </a:graphicData>
            </a:graphic>
          </wp:inline>
        </w:drawing>
      </w:r>
    </w:p>
    <w:p>
      <w:pPr>
        <w:pStyle w:val="Heading3"/>
      </w:pPr>
      <w:r>
        <w:t xml:space="preserve">Figure 10A. Gene-normalized grouped class distribution</w:t>
      </w:r>
    </w:p>
    <w:p>
      <w:pPr>
        <w:jc w:val="center"/>
      </w:pPr>
      <w:r>
        <w:drawing>
          <wp:inline distT="0" distB="0" distL="0" distR="0">
            <wp:extent cx="4514850" cy="2762250"/>
            <wp:effectExtent l="0" t="0" r="0" b="0"/>
            <wp:docPr id="125" name="gene_normalized_grouped_class_distribution_heatmap.svg"/>
            <wp:cNvGraphicFramePr>
              <a:graphicFrameLocks noChangeAspect="1"/>
            </wp:cNvGraphicFramePr>
            <a:graphic>
              <a:graphicData uri="http://schemas.openxmlformats.org/drawingml/2006/picture">
                <pic:pic>
                  <pic:nvPicPr>
                    <pic:cNvPr id="125" name="gene_normalized_grouped_class_distribution_heatmap.svg"/>
                    <pic:cNvPicPr/>
                  </pic:nvPicPr>
                  <pic:blipFill>
                    <a:blip r:embed="rIdImg25"/>
                    <a:stretch>
                      <a:fillRect/>
                    </a:stretch>
                  </pic:blipFill>
                  <pic:spPr>
                    <a:xfrm>
                      <a:off x="0" y="0"/>
                      <a:ext cx="4514850" cy="2762250"/>
                    </a:xfrm>
                    <a:prstGeom prst="rect">
                      <a:avLst/>
                    </a:prstGeom>
                  </pic:spPr>
                </pic:pic>
              </a:graphicData>
            </a:graphic>
          </wp:inline>
        </w:drawing>
      </w:r>
    </w:p>
    <w:p>
      <w:pPr>
        <w:pStyle w:val="Heading3"/>
      </w:pPr>
      <w:r>
        <w:t xml:space="preserve">Figure 10B. Gene-normalized criteria rates</w:t>
      </w:r>
    </w:p>
    <w:p>
      <w:pPr>
        <w:jc w:val="center"/>
      </w:pPr>
      <w:r>
        <w:drawing>
          <wp:inline distT="0" distB="0" distL="0" distR="0">
            <wp:extent cx="4514850" cy="6648450"/>
            <wp:effectExtent l="0" t="0" r="0" b="0"/>
            <wp:docPr id="126" name="gene_normalized_criteria_rate_heatmap.svg"/>
            <wp:cNvGraphicFramePr>
              <a:graphicFrameLocks noChangeAspect="1"/>
            </wp:cNvGraphicFramePr>
            <a:graphic>
              <a:graphicData uri="http://schemas.openxmlformats.org/drawingml/2006/picture">
                <pic:pic>
                  <pic:nvPicPr>
                    <pic:cNvPr id="126" name="gene_normalized_criteria_rate_heatmap.svg"/>
                    <pic:cNvPicPr/>
                  </pic:nvPicPr>
                  <pic:blipFill>
                    <a:blip r:embed="rIdImg26"/>
                    <a:stretch>
                      <a:fillRect/>
                    </a:stretch>
                  </pic:blipFill>
                  <pic:spPr>
                    <a:xfrm>
                      <a:off x="0" y="0"/>
                      <a:ext cx="4514850" cy="6648450"/>
                    </a:xfrm>
                    <a:prstGeom prst="rect">
                      <a:avLst/>
                    </a:prstGeom>
                  </pic:spPr>
                </pic:pic>
              </a:graphicData>
            </a:graphic>
          </wp:inline>
        </w:drawing>
      </w:r>
    </w:p>
    <w:p>
      <w:pPr>
        <w:pStyle w:val="Heading3"/>
      </w:pPr>
      <w:r>
        <w:t xml:space="preserve">Figure 10C. Gene-normalized priority queues per 1000 VUS</w:t>
      </w:r>
    </w:p>
    <w:p>
      <w:pPr>
        <w:jc w:val="center"/>
      </w:pPr>
      <w:r>
        <w:drawing>
          <wp:inline distT="0" distB="0" distL="0" distR="0">
            <wp:extent cx="5760720" cy="4220835"/>
            <wp:effectExtent l="0" t="0" r="0" b="0"/>
            <wp:docPr id="127" name="gene_normalized_priority_queues_per_1000_vus.svg"/>
            <wp:cNvGraphicFramePr>
              <a:graphicFrameLocks noChangeAspect="1"/>
            </wp:cNvGraphicFramePr>
            <a:graphic>
              <a:graphicData uri="http://schemas.openxmlformats.org/drawingml/2006/picture">
                <pic:pic>
                  <pic:nvPicPr>
                    <pic:cNvPr id="127" name="gene_normalized_priority_queues_per_1000_vus.svg"/>
                    <pic:cNvPicPr/>
                  </pic:nvPicPr>
                  <pic:blipFill>
                    <a:blip r:embed="rIdImg27"/>
                    <a:stretch>
                      <a:fillRect/>
                    </a:stretch>
                  </pic:blipFill>
                  <pic:spPr>
                    <a:xfrm>
                      <a:off x="0" y="0"/>
                      <a:ext cx="5760720" cy="4220835"/>
                    </a:xfrm>
                    <a:prstGeom prst="rect">
                      <a:avLst/>
                    </a:prstGeom>
                  </pic:spPr>
                </pic:pic>
              </a:graphicData>
            </a:graphic>
          </wp:inline>
        </w:drawing>
      </w:r>
    </w:p>
    <w:p>
      <w:pPr>
        <w:pStyle w:val="Heading3"/>
      </w:pPr>
      <w:r>
        <w:t xml:space="preserve">Figure 10D. Gene-normalized evidence action groups per 1000 VUS</w:t>
      </w:r>
    </w:p>
    <w:p>
      <w:pPr>
        <w:jc w:val="center"/>
      </w:pPr>
      <w:r>
        <w:drawing>
          <wp:inline distT="0" distB="0" distL="0" distR="0">
            <wp:extent cx="5760720" cy="4220835"/>
            <wp:effectExtent l="0" t="0" r="0" b="0"/>
            <wp:docPr id="128" name="gene_normalized_evidence_action_groups_per_1000_vus.svg"/>
            <wp:cNvGraphicFramePr>
              <a:graphicFrameLocks noChangeAspect="1"/>
            </wp:cNvGraphicFramePr>
            <a:graphic>
              <a:graphicData uri="http://schemas.openxmlformats.org/drawingml/2006/picture">
                <pic:pic>
                  <pic:nvPicPr>
                    <pic:cNvPr id="128" name="gene_normalized_evidence_action_groups_per_1000_vus.svg"/>
                    <pic:cNvPicPr/>
                  </pic:nvPicPr>
                  <pic:blipFill>
                    <a:blip r:embed="rIdImg28"/>
                    <a:stretch>
                      <a:fillRect/>
                    </a:stretch>
                  </pic:blipFill>
                  <pic:spPr>
                    <a:xfrm>
                      <a:off x="0" y="0"/>
                      <a:ext cx="5760720" cy="4220835"/>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 Id="rIdImg23" Type="http://schemas.openxmlformats.org/officeDocument/2006/relationships/image" Target="media/priority_queue_counts.svg"/><Relationship Id="rIdImg24" Type="http://schemas.openxmlformats.org/officeDocument/2006/relationships/image" Target="media/priority_queue_overlap.svg"/><Relationship Id="rIdImg25" Type="http://schemas.openxmlformats.org/officeDocument/2006/relationships/image" Target="media/gene_normalized_grouped_class_distribution_heatmap.svg"/><Relationship Id="rIdImg26" Type="http://schemas.openxmlformats.org/officeDocument/2006/relationships/image" Target="media/gene_normalized_criteria_rate_heatmap.svg"/><Relationship Id="rIdImg27" Type="http://schemas.openxmlformats.org/officeDocument/2006/relationships/image" Target="media/gene_normalized_priority_queues_per_1000_vus.svg"/><Relationship Id="rIdImg28" Type="http://schemas.openxmlformats.org/officeDocument/2006/relationships/image" Target="media/gene_normalized_evidence_action_groups_per_1000_vus.svg"/></Relationships>
</file>