
<file path=[Content_Types].xml><?xml version="1.0" encoding="utf-8"?>
<Types xmlns="http://schemas.openxmlformats.org/package/2006/content-types">
  <Default Extension="rels" ContentType="application/vnd.openxmlformats-package.relationships+xml"/>
  <Default Extension="xml" ContentType="application/xml"/>
  <Default Extension="svg" ContentType="image/svg+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BRCA1/2 VUS Prioritization From A Precomputed ARIANE Module 1 Variant Map</w:t>
      </w:r>
    </w:p>
    <w:p>
      <w:pPr>
        <w:pStyle w:val="Heading2"/>
      </w:pPr>
      <w:r>
        <w:t xml:space="preserve">Short Summary</w:t>
      </w:r>
    </w:p>
    <w:p>
      <w:r>
        <w:t xml:space="preserve">This exploratory report describes a working framework for selecting BRCA1/2 VUS candidates that deserve earlier manual review. The framework does not predict pathogenicity and does not reclassify variants. It uses a precomputed ARIANE Module 1 coding SNV map, generated by automatable ENIGMA/ACMG rules, to identify VUS with stronger review signals: SpliceAI signal, proximity to exon boundaries, local pathogenic density, evidence combinations that nearly satisfy ENIGMA rules, structural/domain context, and evidence conflicts such as BS3+PP3.</w:t>
      </w:r>
    </w:p>
    <w:p>
      <w:r>
        <w:t xml:space="preserve">The output is a ranked curation queue, not a clinical classification.</w:t>
      </w:r>
    </w:p>
    <w:p>
      <w:pPr>
        <w:pStyle w:val="Heading2"/>
      </w:pPr>
      <w:r>
        <w:t xml:space="preserve">Background</w:t>
      </w:r>
    </w:p>
    <w:p>
      <w:r>
        <w:t xml:space="preserve">Variants of uncertain significance remain a major practical problem in BRCA1/2 interpretation. Even when a rule-based framework is available, only part of the ACMG/ENIGMA evidence set can be automated reliably. In our ARIANE application, the current automated part corresponds to Module 1: criteria that can be applied from structured inputs and precomputed resources.</w:t>
      </w:r>
    </w:p>
    <w:p>
      <w:r>
        <w:t xml:space="preserve">Some functional, curated, or multifactorial-likelihood criteria can appear in this generated Module 1 map when they are available as structured local resources. In this snapshot, PS3, BS3, and PS1 represent structured functional or same-amino-acid evidence lookups. PP4 and BP5 should be treated separately: in the ENIGMA context they represent precomputed multifactorial likelihood-ratio evidence, not functional assay evidence and not the generic ACMG BP5 co-observation rule. This does not mean that all functional, RNA, phenotype, family, or clinical evidence is automatically interpreted. Evidence that is not available in a structured and rule-compatible form still requires manual curation, including segregation, case-control data, trans observations, curated clinical review, and many functional/RNA interpretations.</w:t>
      </w:r>
    </w:p>
    <w:p>
      <w:r>
        <w:t xml:space="preserve">Therefore, the precomputed automated Module 1 map naturally contains a large and heterogeneous VUS set. These VUS are not equivalent. Some have little information beyond population absence. Others are close to a likely pathogenic or likely benign combination but are missing one accepted evidence item. A practical curation tool should help identify which VUS are worth opening first.</w:t>
      </w:r>
    </w:p>
    <w:p>
      <w:pPr>
        <w:pStyle w:val="Heading2"/>
      </w:pPr>
      <w:r>
        <w:t xml:space="preserve">Aim</w:t>
      </w:r>
    </w:p>
    <w:p>
      <w:r>
        <w:t xml:space="preserve">The aim was to build an exploratory triage framework for BRCA1/2 VUS candidates from the precomputed ARIANE Module 1 variant map.</w:t>
      </w:r>
    </w:p>
    <w:p>
      <w:r>
        <w:t xml:space="preserve">The framework asks:</w:t>
      </w:r>
    </w:p>
    <w:p>
      <w:pPr>
        <w:pStyle w:val="ListBullet"/>
        <w:ind w:left="720" w:hanging="360"/>
      </w:pPr>
      <w:r>
        <w:t xml:space="preserve">Which VUS have evidence patterns suggesting that manual review may be informative?</w:t>
      </w:r>
    </w:p>
    <w:p>
      <w:pPr>
        <w:pStyle w:val="ListBullet"/>
        <w:ind w:left="720" w:hanging="360"/>
      </w:pPr>
      <w:r>
        <w:t xml:space="preserve">Which VUS are located in neighborhoods enriched for generated pathogenic variants?</w:t>
      </w:r>
    </w:p>
    <w:p>
      <w:pPr>
        <w:pStyle w:val="ListBullet"/>
        <w:ind w:left="720" w:hanging="360"/>
      </w:pPr>
      <w:r>
        <w:t xml:space="preserve">Which VUS are closer to generated pathogenic than benign variants?</w:t>
      </w:r>
    </w:p>
    <w:p>
      <w:pPr>
        <w:pStyle w:val="ListBullet"/>
        <w:ind w:left="720" w:hanging="360"/>
      </w:pPr>
      <w:r>
        <w:t xml:space="preserve">Which VUS fall in functionally important protein regions?</w:t>
      </w:r>
    </w:p>
    <w:p>
      <w:pPr>
        <w:pStyle w:val="ListBullet"/>
        <w:ind w:left="720" w:hanging="360"/>
      </w:pPr>
      <w:r>
        <w:t xml:space="preserve">Which apparent signals are weakened by benign counterexamples or conflicting evidence?</w:t>
      </w:r>
    </w:p>
    <w:p>
      <w:r>
        <w:t xml:space="preserve">The framework explicitly does not ask:</w:t>
      </w:r>
    </w:p>
    <w:p>
      <w:pPr>
        <w:pStyle w:val="ListBullet"/>
        <w:ind w:left="720" w:hanging="360"/>
      </w:pPr>
      <w:r>
        <w:t xml:space="preserve">Is this VUS pathogenic?</w:t>
      </w:r>
    </w:p>
    <w:p>
      <w:pPr>
        <w:pStyle w:val="ListBullet"/>
        <w:ind w:left="720" w:hanging="360"/>
      </w:pPr>
      <w:r>
        <w:t xml:space="preserve">Should the VUS be upgraded automatically?</w:t>
      </w:r>
    </w:p>
    <w:p>
      <w:pPr>
        <w:pStyle w:val="ListBullet"/>
        <w:ind w:left="720" w:hanging="360"/>
      </w:pPr>
      <w:r>
        <w:t xml:space="preserve">Can domain membership be used as an ACMG/ENIGMA criterion?</w:t>
      </w:r>
    </w:p>
    <w:p>
      <w:pPr>
        <w:pStyle w:val="Heading2"/>
      </w:pPr>
      <w:r>
        <w:t xml:space="preserve">Practical Value And Intended Use</w:t>
      </w:r>
    </w:p>
    <w:p>
      <w:r>
        <w:t xml:space="preserve">The practical purpose of this framework is to reduce the first-pass manual review burden. It separates low-information VUS from variants where additional evidence review is more likely to be informative, and it labels why each VUS is being prioritized.</w:t>
      </w:r>
    </w:p>
    <w:p>
      <w:r>
        <w:t xml:space="preserve">The expected value is:</w:t>
      </w:r>
    </w:p>
    <w:p>
      <w:pPr>
        <w:pStyle w:val="ListBullet"/>
        <w:ind w:left="720" w:hanging="360"/>
      </w:pPr>
      <w:r>
        <w:t xml:space="preserve">better ordering of curator effort across thousands of Module 1 VUS</w:t>
      </w:r>
    </w:p>
    <w:p>
      <w:pPr>
        <w:pStyle w:val="ListBullet"/>
        <w:ind w:left="720" w:hanging="360"/>
      </w:pPr>
      <w:r>
        <w:t xml:space="preserve">clearer labels for why a VUS is in the review queue</w:t>
      </w:r>
    </w:p>
    <w:p>
      <w:pPr>
        <w:pStyle w:val="ListBullet"/>
        <w:ind w:left="720" w:hanging="360"/>
      </w:pPr>
      <w:r>
        <w:t xml:space="preserve">early detection of evidence conflicts, such as BS3+PP3 or public assertion discordance</w:t>
      </w:r>
    </w:p>
    <w:p>
      <w:pPr>
        <w:pStyle w:val="ListBullet"/>
        <w:ind w:left="720" w:hanging="360"/>
      </w:pPr>
      <w:r>
        <w:t xml:space="preserve">separation of variant-level signals from neighborhood-driven context</w:t>
      </w:r>
    </w:p>
    <w:p>
      <w:pPr>
        <w:pStyle w:val="ListBullet"/>
        <w:ind w:left="720" w:hanging="360"/>
      </w:pPr>
      <w:r>
        <w:t xml:space="preserve">explicit identification of variants that are close to a likely pathogenic or likely benign evidence combination</w:t>
      </w:r>
    </w:p>
    <w:p>
      <w:r>
        <w:t xml:space="preserve">The framework is therefore an audit and triage layer. It is not intended to produce new clinical classifications by itself.</w:t>
      </w:r>
    </w:p>
    <w:p>
      <w:pPr>
        <w:pStyle w:val="Heading2"/>
      </w:pPr>
      <w:r>
        <w:t xml:space="preserve">Multiple Prioritization Queues</w:t>
      </w:r>
    </w:p>
    <w:p>
      <w:r>
        <w:t xml:space="preserve">VUS prioritization is not a single ranking problem. Different variants should be reviewed early for different reasons, and these reasons should not be mixed up with ACMG/ENIGMA evidence criteria. In this report, prioritization is treated as a set of review queues that help decide what a curator should open first.</w:t>
      </w:r>
    </w:p>
    <w:p>
      <w:r>
        <w:t xml:space="preserve">The main prioritization queues are:</w:t>
      </w:r>
    </w:p>
    <w:p>
      <w:pPr>
        <w:pStyle w:val="ListBullet"/>
        <w:ind w:left="720" w:hanging="360"/>
      </w:pPr>
      <w:r>
        <w:t xml:space="preserve">near-threshold variants: VUS that are one accepted evidence item away from a likely pathogenic or likely benign Module 1 combination</w:t>
      </w:r>
    </w:p>
    <w:p>
      <w:pPr>
        <w:pStyle w:val="ListBullet"/>
        <w:ind w:left="720" w:hanging="360"/>
      </w:pPr>
      <w:r>
        <w:t xml:space="preserve">splice/RNA review candidates: VUS with high SpliceAI signal, exon-boundary proximity, or a pattern where RNA evidence could resolve the uncertainty</w:t>
      </w:r>
    </w:p>
    <w:p>
      <w:pPr>
        <w:pStyle w:val="ListBullet"/>
        <w:ind w:left="720" w:hanging="360"/>
      </w:pPr>
      <w:r>
        <w:t xml:space="preserve">functional-evidence candidates: VUS with structured functional data, or VUS in regions where assay metadata and assay mechanism need careful review</w:t>
      </w:r>
    </w:p>
    <w:p>
      <w:pPr>
        <w:pStyle w:val="ListBullet"/>
        <w:ind w:left="720" w:hanging="360"/>
      </w:pPr>
      <w:r>
        <w:t xml:space="preserve">evidence-conflict candidates: VUS with opposing signals, such as functional benign evidence together with computational splice or protein-impact signal</w:t>
      </w:r>
    </w:p>
    <w:p>
      <w:pPr>
        <w:pStyle w:val="ListBullet"/>
        <w:ind w:left="720" w:hanging="360"/>
      </w:pPr>
      <w:r>
        <w:t xml:space="preserve">public-assertion candidates: VUS with ClinVar, ClinGen/ENIGMA assertion, submitter-discordance, or panel-level context that should be compared with the local Module 1 result</w:t>
      </w:r>
    </w:p>
    <w:p>
      <w:pPr>
        <w:pStyle w:val="ListBullet"/>
        <w:ind w:left="720" w:hanging="360"/>
      </w:pPr>
      <w:r>
        <w:t xml:space="preserve">neighborhood/context candidates: VUS located in regions enriched for generated pathogenic or benign Module 1 classifications</w:t>
      </w:r>
    </w:p>
    <w:p>
      <w:pPr>
        <w:pStyle w:val="ListBullet"/>
        <w:ind w:left="720" w:hanging="360"/>
      </w:pPr>
      <w:r>
        <w:t xml:space="preserve">low-information variants: usually PM2-only or otherwise weakly annotated VUS, where manual review may be lower yield unless external clinical, family, RNA, or functional data exist</w:t>
      </w:r>
    </w:p>
    <w:p>
      <w:r>
        <w:t xml:space="preserve">These queues can overlap. For example, a VUS may be both near a likely pathogenic threshold and located in a pathogenic neighborhood, or it may have a high SpliceAI score but also public benign assertions. The review label should therefore explain the reason for prioritization, not only the numeric rank.</w:t>
      </w:r>
    </w:p>
    <w:p>
      <w:r>
        <w:t xml:space="preserve">This is also why local pathogenic enrichment is used only as a context signal. It can make a VUS more interesting for manual review, but it cannot add points or replace accepted variant-level ACMG/ENIGMA evidence.</w:t>
      </w:r>
    </w:p>
    <w:p>
      <w:r>
        <w:t xml:space="preserve">This concept was also implemented as a separate queue-synthesis analysis. Each VUS was assigned to zero or more practical review queues: near threshold, splice/RNA, functional, evidence conflict, public assertion, neighborhood context, and low information. In the current snapshot, the largest queues were neighborhood context (6649 VUS), low information (5379 VUS), and splice/RNA (3291 VUS). Smaller but more actionable queues included functional evidence (836 VUS), near-threshold variants (637 VUS), public assertions (72 VUS), and explicit evidence conflicts (30 VUS).</w:t>
      </w:r>
    </w:p>
    <w:p>
      <w:r>
        <w:t xml:space="preserve">Most VUS belonged to more than one queue. This supports the core interpretation that a practical VUS worklist should be filtered by review question, not only sorted by one global priority score.</w:t>
      </w:r>
    </w:p>
    <w:p>
      <w:pPr>
        <w:pStyle w:val="Heading2"/>
      </w:pPr>
      <w:r>
        <w:t xml:space="preserve">Gene-Normalized Comparisons</w:t>
      </w:r>
    </w:p>
    <w:p>
      <w:r>
        <w:t xml:space="preserve">Several plots and summary tables initially combined BRCA1 and BRCA2. This is useful for a first overview, but raw combined counts can be misleading because BRCA2 contributes more generated coding SNVs than BRCA1 in the current snapshot. Cross-gene comparisons should therefore use within-gene percentages or rates per 1000 generated variants, and VUS worklist comparisons should use rates per 1000 VUS in each gene.</w:t>
      </w:r>
    </w:p>
    <w:p>
      <w:r>
        <w:t xml:space="preserve">A gene-normalized layer was added for the combined analyses. In the current snapshot:</w:t>
      </w:r>
    </w:p>
    <w:p>
      <w:pPr>
        <w:pStyle w:val="ListBullet"/>
        <w:ind w:left="720" w:hanging="360"/>
      </w:pPr>
      <w:r>
        <w:t xml:space="preserve">BRCA1 contributes 16776 generated coding SNVs and 1625 VUS.</w:t>
      </w:r>
    </w:p>
    <w:p>
      <w:pPr>
        <w:pStyle w:val="ListBullet"/>
        <w:ind w:left="720" w:hanging="360"/>
      </w:pPr>
      <w:r>
        <w:t xml:space="preserve">BRCA2 contributes 30771 generated coding SNVs and 6529 VUS.</w:t>
      </w:r>
    </w:p>
    <w:p>
      <w:pPr>
        <w:pStyle w:val="ListBullet"/>
        <w:ind w:left="720" w:hanging="360"/>
      </w:pPr>
      <w:r>
        <w:t xml:space="preserve">Generated pathogenic classes 4/5 are similar after normalization: BRCA1 52.28 per 1000 generated SNVs, BRCA2 50.83 per 1000 generated SNVs.</w:t>
      </w:r>
    </w:p>
    <w:p>
      <w:pPr>
        <w:pStyle w:val="ListBullet"/>
        <w:ind w:left="720" w:hanging="360"/>
      </w:pPr>
      <w:r>
        <w:t xml:space="preserve">VUS are much more frequent in BRCA2 after normalization: BRCA1 96.86 per 1000 generated SNVs, BRCA2 212.18 per 1000 generated SNVs.</w:t>
      </w:r>
    </w:p>
    <w:p>
      <w:pPr>
        <w:pStyle w:val="ListBullet"/>
        <w:ind w:left="720" w:hanging="360"/>
      </w:pPr>
      <w:r>
        <w:t xml:space="preserve">Among VUS, near-threshold queue membership is much more frequent in BRCA1: BRCA1 288.00 per 1000 VUS, BRCA2 25.88 per 1000 VUS.</w:t>
      </w:r>
    </w:p>
    <w:p>
      <w:pPr>
        <w:pStyle w:val="ListBullet"/>
        <w:ind w:left="720" w:hanging="360"/>
      </w:pPr>
      <w:r>
        <w:t xml:space="preserve">Among VUS, functional-queue membership is also much more frequent in BRCA1: BRCA1 420.92 per 1000 VUS, BRCA2 23.28 per 1000 VUS. This likely reflects available structured BRCA1 functional evidence, not necessarily a true biological difference.</w:t>
      </w:r>
    </w:p>
    <w:p>
      <w:pPr>
        <w:pStyle w:val="ListBullet"/>
        <w:ind w:left="720" w:hanging="360"/>
      </w:pPr>
      <w:r>
        <w:t xml:space="preserve">Low-information VUS are more frequent in BRCA2: BRCA1 478.15 per 1000 VUS, BRCA2 704.86 per 1000 VUS.</w:t>
      </w:r>
    </w:p>
    <w:p>
      <w:r>
        <w:t xml:space="preserve">The normalized results change how the combined analyses should be read. For example, a combined VUS queue can look large because BRCA2 contributes more VUS, while actionability signals such as structured functional evidence and near-threshold combinations are concentrated in BRCA1 in this snapshot.</w:t>
      </w:r>
    </w:p>
    <w:p>
      <w:pPr>
        <w:pStyle w:val="Heading2"/>
      </w:pPr>
      <w:r>
        <w:t xml:space="preserve">Dataset Generation</w:t>
      </w:r>
    </w:p>
    <w:p>
      <w:r>
        <w:t xml:space="preserve">The starting point was the full precomputed BRCA1/2 coding SNV classification map:</w:t>
      </w:r>
    </w:p>
    <w:p>
      <w:r>
        <w:t xml:space="preserve">variant_space_scan/outputs/brca_module1_full_snv_classification.csv</w:t>
      </w:r>
    </w:p>
    <w:p>
      <w:r>
        <w:t xml:space="preserve">This map was generated by applying the current ARIANE automatable Module 1 rules to coding SNVs in BRCA1 and BRCA2. In the current snapshot, the observed automated criteria were:</w:t>
      </w:r>
    </w:p>
    <w:p>
      <w:pPr>
        <w:pStyle w:val="ListBullet"/>
        <w:ind w:left="720" w:hanging="360"/>
      </w:pPr>
      <w:r>
        <w:t xml:space="preserve">population/frequency criteria: PM2_Supporting, BA1, BS1_Supporting, BS1_Strong</w:t>
      </w:r>
    </w:p>
    <w:p>
      <w:pPr>
        <w:pStyle w:val="ListBullet"/>
        <w:ind w:left="720" w:hanging="360"/>
      </w:pPr>
      <w:r>
        <w:t xml:space="preserve">predicted or RNA-like splice/computational criteria: PP3, BP4, BP7</w:t>
      </w:r>
    </w:p>
    <w:p>
      <w:pPr>
        <w:pStyle w:val="ListBullet"/>
        <w:ind w:left="720" w:hanging="360"/>
      </w:pPr>
      <w:r>
        <w:t xml:space="preserve">protein consequence criteria: PVS1, PM5_PTC, BP1</w:t>
      </w:r>
    </w:p>
    <w:p>
      <w:pPr>
        <w:pStyle w:val="ListBullet"/>
        <w:ind w:left="720" w:hanging="360"/>
      </w:pPr>
      <w:r>
        <w:t xml:space="preserve">structured functional or curated evidence criteria available to this local snapshot: PS3, BS3, PS1</w:t>
      </w:r>
    </w:p>
    <w:p>
      <w:pPr>
        <w:pStyle w:val="ListBullet"/>
        <w:ind w:left="720" w:hanging="360"/>
      </w:pPr>
      <w:r>
        <w:t xml:space="preserve">precomputed multifactorial likelihood-ratio lookup criteria available to this local snapshot: PP4, BP5</w:t>
      </w:r>
    </w:p>
    <w:p>
      <w:r>
        <w:t xml:space="preserve">Two implementation labels require special caution. PM5_PTC is not a base ACMG code name, but it is an ENIGMA-style exon-specific premature-termination-codon weighting used for PTC contexts supported by functional, case-control, or family data. PP4 and BP5 are included because they appear in the current structured snapshot as precomputed multifactorial LR lookups; they should not be interpreted as newly computed phenotype or co-observation criteria by ARIANE.</w:t>
      </w:r>
    </w:p>
    <w:p>
      <w:r>
        <w:t xml:space="preserve">The map includes:</w:t>
      </w:r>
    </w:p>
    <w:p>
      <w:pPr>
        <w:pStyle w:val="ListBullet"/>
        <w:ind w:left="720" w:hanging="360"/>
      </w:pPr>
      <w:r>
        <w:t xml:space="preserve">gene and HGVS c./p. notation</w:t>
      </w:r>
    </w:p>
    <w:p>
      <w:pPr>
        <w:pStyle w:val="ListBullet"/>
        <w:ind w:left="720" w:hanging="360"/>
      </w:pPr>
      <w:r>
        <w:t xml:space="preserve">variant type</w:t>
      </w:r>
    </w:p>
    <w:p>
      <w:pPr>
        <w:pStyle w:val="ListBullet"/>
        <w:ind w:left="720" w:hanging="360"/>
      </w:pPr>
      <w:r>
        <w:t xml:space="preserve">SpliceAI score from the local SpliceAI cache</w:t>
      </w:r>
    </w:p>
    <w:p>
      <w:pPr>
        <w:pStyle w:val="ListBullet"/>
        <w:ind w:left="720" w:hanging="360"/>
      </w:pPr>
      <w:r>
        <w:t xml:space="preserve">population-frequency status from the local gnomAD cache</w:t>
      </w:r>
    </w:p>
    <w:p>
      <w:pPr>
        <w:pStyle w:val="ListBullet"/>
        <w:ind w:left="720" w:hanging="360"/>
      </w:pPr>
      <w:r>
        <w:t xml:space="preserve">applied automated ACMG/ENIGMA criteria</w:t>
      </w:r>
    </w:p>
    <w:p>
      <w:pPr>
        <w:pStyle w:val="ListBullet"/>
        <w:ind w:left="720" w:hanging="360"/>
      </w:pPr>
      <w:r>
        <w:t xml:space="preserve">total point score</w:t>
      </w:r>
    </w:p>
    <w:p>
      <w:pPr>
        <w:pStyle w:val="ListBullet"/>
        <w:ind w:left="720" w:hanging="360"/>
      </w:pPr>
      <w:r>
        <w:t xml:space="preserve">generated class 1 to 5 output from those automatable rules</w:t>
      </w:r>
    </w:p>
    <w:p>
      <w:pPr>
        <w:pStyle w:val="ListBullet"/>
        <w:ind w:left="720" w:hanging="360"/>
      </w:pPr>
      <w:r>
        <w:t xml:space="preserve">warnings and notes about non-automated criteria</w:t>
      </w:r>
    </w:p>
    <w:p>
      <w:r>
        <w:t xml:space="preserve">The analysis was limited to coding SNVs. It does not include indels, multi-exon CNVs, deep intronic variants, promoter variants, UTR variants, or other noncoding variant classes.</w:t>
      </w:r>
    </w:p>
    <w:p>
      <w:pPr>
        <w:pStyle w:val="Heading2"/>
      </w:pPr>
      <w:r>
        <w:t xml:space="preserve">Important Interpretation Boundary</w:t>
      </w:r>
    </w:p>
    <w:p>
      <w:r>
        <w:t xml:space="preserve">All analyses in this report describe patterns in the precomputed ARIANE Module 1 variant map. This is not a map of biological reality, and it is not an independent clinical reference set. It is a map of how coding SNVs are classified when the current automatable Module 1 rules are applied.</w:t>
      </w:r>
    </w:p>
    <w:p>
      <w:r>
        <w:t xml:space="preserve">Terms such as pathogenic density, pathogenic neighborhood, domain enrichment, or high-priority VUS mean that a variant is interesting for manual review within this precomputed automated-rule map. They do not mean that the variant is pathogenic.</w:t>
      </w:r>
    </w:p>
    <w:p>
      <w:r>
        <w:t xml:space="preserve">Local pathogenic enrichment is a context signal, not an ACMG/ENIGMA evidence criterion.</w:t>
      </w:r>
    </w:p>
    <w:p>
      <w:pPr>
        <w:pStyle w:val="Heading2"/>
      </w:pPr>
      <w:r>
        <w:t xml:space="preserve">Methods</w:t>
      </w:r>
    </w:p>
    <w:p>
      <w:pPr>
        <w:pStyle w:val="Heading3"/>
      </w:pPr>
      <w:r>
        <w:t xml:space="preserve">VUS Selection</w:t>
      </w:r>
    </w:p>
    <w:p>
      <w:r>
        <w:t xml:space="preserve">Variants classified as class 3 by the automated Module 1 snapshot were selected as VUS. In the current snapshot, the VUS set contained:</w:t>
      </w:r>
    </w:p>
    <w:p>
      <w:pPr>
        <w:pStyle w:val="ListBullet"/>
        <w:ind w:left="720" w:hanging="360"/>
      </w:pPr>
      <w:r>
        <w:t xml:space="preserve">total VUS: 8154</w:t>
      </w:r>
    </w:p>
    <w:p>
      <w:r>
        <w:t xml:space="preserve">Each VUS was annotated with:</w:t>
      </w:r>
    </w:p>
    <w:p>
      <w:pPr>
        <w:pStyle w:val="ListBullet"/>
        <w:ind w:left="720" w:hanging="360"/>
      </w:pPr>
      <w:r>
        <w:t xml:space="preserve">CDS position</w:t>
      </w:r>
    </w:p>
    <w:p>
      <w:pPr>
        <w:pStyle w:val="ListBullet"/>
        <w:ind w:left="720" w:hanging="360"/>
      </w:pPr>
      <w:r>
        <w:t xml:space="preserve">CDS exon</w:t>
      </w:r>
    </w:p>
    <w:p>
      <w:pPr>
        <w:pStyle w:val="ListBullet"/>
        <w:ind w:left="720" w:hanging="360"/>
      </w:pPr>
      <w:r>
        <w:t xml:space="preserve">distance to the nearest CDS exon boundary</w:t>
      </w:r>
    </w:p>
    <w:p>
      <w:pPr>
        <w:pStyle w:val="ListBullet"/>
        <w:ind w:left="720" w:hanging="360"/>
      </w:pPr>
      <w:r>
        <w:t xml:space="preserve">SpliceAI score</w:t>
      </w:r>
    </w:p>
    <w:p>
      <w:pPr>
        <w:pStyle w:val="ListBullet"/>
        <w:ind w:left="720" w:hanging="360"/>
      </w:pPr>
      <w:r>
        <w:t xml:space="preserve">applied criteria</w:t>
      </w:r>
    </w:p>
    <w:p>
      <w:pPr>
        <w:pStyle w:val="ListBullet"/>
        <w:ind w:left="720" w:hanging="360"/>
      </w:pPr>
      <w:r>
        <w:t xml:space="preserve">local counts of nearby benign, VUS, and pathogenic generated variants</w:t>
      </w:r>
    </w:p>
    <w:p>
      <w:pPr>
        <w:pStyle w:val="ListBullet"/>
        <w:ind w:left="720" w:hanging="360"/>
      </w:pPr>
      <w:r>
        <w:t xml:space="preserve">review category</w:t>
      </w:r>
    </w:p>
    <w:p>
      <w:pPr>
        <w:pStyle w:val="ListBullet"/>
        <w:ind w:left="720" w:hanging="360"/>
      </w:pPr>
      <w:r>
        <w:t xml:space="preserve">priority score</w:t>
      </w:r>
    </w:p>
    <w:p>
      <w:pPr>
        <w:pStyle w:val="Heading3"/>
      </w:pPr>
      <w:r>
        <w:t xml:space="preserve">Review Priority Score</w:t>
      </w:r>
    </w:p>
    <w:p>
      <w:r>
        <w:t xml:space="preserve">A heuristic review score was assigned to each VUS. The score is not a classifier. It is a practical sorting key for manual review.</w:t>
      </w:r>
    </w:p>
    <w:p>
      <w:r>
        <w:t xml:space="preserve">Signals that increase priority are additive, but the SpliceAI and boundary components are tiered rather than double-counted. A variant with SpliceAI &gt;= 0.20 receives the 30-point high-SpliceAI weight, not both the 30-point and 12-point weights. A variant within 2 bp of a CDS exon boundary receives the 20-point boundary weight, not both the 20-point and 8-point weights.</w:t>
      </w:r>
    </w:p>
    <w:p>
      <w:r>
        <w:t xml:space="preserve">The current heuristic weights are: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Priority component</w:t>
            </w:r>
          </w:p>
        </w:tc>
        <w:tc>
          <w:tcPr>
            <w:tcW w:w="2400" w:type="dxa"/>
            <w:shd w:fill="EDEDED"/>
          </w:tcPr>
          <w:p>
            <w:r>
              <w:t xml:space="preserve">Weight</w:t>
            </w:r>
          </w:p>
        </w:tc>
      </w:tr>
      <w:tr>
        <w:tc>
          <w:tcPr>
            <w:tcW w:w="2400" w:type="dxa"/>
          </w:tcPr>
          <w:p>
            <w:r>
              <w:t xml:space="preserve">SpliceAI &gt;= 0.20</w:t>
            </w:r>
          </w:p>
        </w:tc>
        <w:tc>
          <w:tcPr>
            <w:tcW w:w="2400" w:type="dxa"/>
          </w:tcPr>
          <w:p>
            <w:r>
              <w:t xml:space="preserve">30</w:t>
            </w:r>
          </w:p>
        </w:tc>
      </w:tr>
      <w:tr>
        <w:tc>
          <w:tcPr>
            <w:tcW w:w="2400" w:type="dxa"/>
          </w:tcPr>
          <w:p>
            <w:r>
              <w:t xml:space="preserve">SpliceAI &gt;= 0.10 and &lt; 0.20</w:t>
            </w:r>
          </w:p>
        </w:tc>
        <w:tc>
          <w:tcPr>
            <w:tcW w:w="2400" w:type="dxa"/>
          </w:tcPr>
          <w:p>
            <w:r>
              <w:t xml:space="preserve">12</w:t>
            </w:r>
          </w:p>
        </w:tc>
      </w:tr>
      <w:tr>
        <w:tc>
          <w:tcPr>
            <w:tcW w:w="2400" w:type="dxa"/>
          </w:tcPr>
          <w:p>
            <w:r>
              <w:t xml:space="preserve">within 2 bp of a CDS exon boundary</w:t>
            </w:r>
          </w:p>
        </w:tc>
        <w:tc>
          <w:tcPr>
            <w:tcW w:w="2400" w:type="dxa"/>
          </w:tcPr>
          <w:p>
            <w:r>
              <w:t xml:space="preserve">20</w:t>
            </w:r>
          </w:p>
        </w:tc>
      </w:tr>
      <w:tr>
        <w:tc>
          <w:tcPr>
            <w:tcW w:w="2400" w:type="dxa"/>
          </w:tcPr>
          <w:p>
            <w:r>
              <w:t xml:space="preserve">within 10 bp but &gt;2 bp from a CDS exon boundary</w:t>
            </w:r>
          </w:p>
        </w:tc>
        <w:tc>
          <w:tcPr>
            <w:tcW w:w="2400" w:type="dxa"/>
          </w:tcPr>
          <w:p>
            <w:r>
              <w:t xml:space="preserve">8</w:t>
            </w:r>
          </w:p>
        </w:tc>
      </w:tr>
      <w:tr>
        <w:tc>
          <w:tcPr>
            <w:tcW w:w="2400" w:type="dxa"/>
          </w:tcPr>
          <w:p>
            <w:r>
              <w:t xml:space="preserve">PVS1 present</w:t>
            </w:r>
          </w:p>
        </w:tc>
        <w:tc>
          <w:tcPr>
            <w:tcW w:w="2400" w:type="dxa"/>
          </w:tcPr>
          <w:p>
            <w:r>
              <w:t xml:space="preserve">35</w:t>
            </w:r>
          </w:p>
        </w:tc>
      </w:tr>
      <w:tr>
        <w:tc>
          <w:tcPr>
            <w:tcW w:w="2400" w:type="dxa"/>
          </w:tcPr>
          <w:p>
            <w:r>
              <w:t xml:space="preserve">PS3 present</w:t>
            </w:r>
          </w:p>
        </w:tc>
        <w:tc>
          <w:tcPr>
            <w:tcW w:w="2400" w:type="dxa"/>
          </w:tcPr>
          <w:p>
            <w:r>
              <w:t xml:space="preserve">25</w:t>
            </w:r>
          </w:p>
        </w:tc>
      </w:tr>
      <w:tr>
        <w:tc>
          <w:tcPr>
            <w:tcW w:w="2400" w:type="dxa"/>
          </w:tcPr>
          <w:p>
            <w:r>
              <w:t xml:space="preserve">PS1 present</w:t>
            </w:r>
          </w:p>
        </w:tc>
        <w:tc>
          <w:tcPr>
            <w:tcW w:w="2400" w:type="dxa"/>
          </w:tcPr>
          <w:p>
            <w:r>
              <w:t xml:space="preserve">18</w:t>
            </w:r>
          </w:p>
        </w:tc>
      </w:tr>
      <w:tr>
        <w:tc>
          <w:tcPr>
            <w:tcW w:w="2400" w:type="dxa"/>
          </w:tcPr>
          <w:p>
            <w:r>
              <w:t xml:space="preserve">PP3 present</w:t>
            </w:r>
          </w:p>
        </w:tc>
        <w:tc>
          <w:tcPr>
            <w:tcW w:w="2400" w:type="dxa"/>
          </w:tcPr>
          <w:p>
            <w:r>
              <w:t xml:space="preserve">15</w:t>
            </w:r>
          </w:p>
        </w:tc>
      </w:tr>
      <w:tr>
        <w:tc>
          <w:tcPr>
            <w:tcW w:w="2400" w:type="dxa"/>
          </w:tcPr>
          <w:p>
            <w:r>
              <w:t xml:space="preserve">PP4 present as precomputed multifactorial LR evidence</w:t>
            </w:r>
          </w:p>
        </w:tc>
        <w:tc>
          <w:tcPr>
            <w:tcW w:w="2400" w:type="dxa"/>
          </w:tcPr>
          <w:p>
            <w:r>
              <w:t xml:space="preserve">15</w:t>
            </w:r>
          </w:p>
        </w:tc>
      </w:tr>
      <w:tr>
        <w:tc>
          <w:tcPr>
            <w:tcW w:w="2400" w:type="dxa"/>
          </w:tcPr>
          <w:p>
            <w:r>
              <w:t xml:space="preserve">BS3 present</w:t>
            </w:r>
          </w:p>
        </w:tc>
        <w:tc>
          <w:tcPr>
            <w:tcW w:w="2400" w:type="dxa"/>
          </w:tcPr>
          <w:p>
            <w:r>
              <w:t xml:space="preserve">8</w:t>
            </w:r>
          </w:p>
        </w:tc>
      </w:tr>
      <w:tr>
        <w:tc>
          <w:tcPr>
            <w:tcW w:w="2400" w:type="dxa"/>
          </w:tcPr>
          <w:p>
            <w:r>
              <w:t xml:space="preserve">near_pathogenic_dense: at least 5 class 4/5 variants within +/-20 coding bp</w:t>
            </w:r>
          </w:p>
        </w:tc>
        <w:tc>
          <w:tcPr>
            <w:tcW w:w="2400" w:type="dxa"/>
          </w:tcPr>
          <w:p>
            <w:r>
              <w:t xml:space="preserve">12</w:t>
            </w:r>
          </w:p>
        </w:tc>
      </w:tr>
      <w:tr>
        <w:tc>
          <w:tcPr>
            <w:tcW w:w="2400" w:type="dxa"/>
          </w:tcPr>
          <w:p>
            <w:r>
              <w:t xml:space="preserve">high_spliceai_in_benign_dense_region: SpliceAI &gt;= 0.20 and at least 20 class 1/2 variants within +/-20 coding bp</w:t>
            </w:r>
          </w:p>
        </w:tc>
        <w:tc>
          <w:tcPr>
            <w:tcW w:w="2400" w:type="dxa"/>
          </w:tcPr>
          <w:p>
            <w:r>
              <w:t xml:space="preserve">8</w:t>
            </w:r>
          </w:p>
        </w:tc>
      </w:tr>
    </w:tbl>
    <w:p>
      <w:r>
        <w:t xml:space="preserve">The tiers are assigned from the total score: tier1_urgent for score &gt;= 80, tier2_high for score &gt;= 50, tier3_medium for score &gt;= 25, and tier4_low below 25.</w:t>
      </w:r>
    </w:p>
    <w:p>
      <w:r>
        <w:t xml:space="preserve">SpliceAI &gt;= 0.20 is used here only as a sensitive review-triage threshold. It is intentionally permissive and may over-call possible splice effects; it is not used here as a standalone classification threshold.</w:t>
      </w:r>
    </w:p>
    <w:p>
      <w:r>
        <w:t xml:space="preserve">PP4 is included in the triage score because a VUS with precomputed pathogenic-direction multifactorial LR evidence is useful to review early. This does not mean ARIANE calculated new phenotype or family-history evidence; it means the variant already carries a structured curated LR lookup.</w:t>
      </w:r>
    </w:p>
    <w:p>
      <w:r>
        <w:t xml:space="preserve">The resulting tiers were: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Tier</w:t>
            </w:r>
          </w:p>
        </w:tc>
        <w:tc>
          <w:tcPr>
            <w:tcW w:w="2400" w:type="dxa"/>
            <w:shd w:fill="EDEDED"/>
          </w:tcPr>
          <w:p>
            <w:r>
              <w:t xml:space="preserve">Count</w:t>
            </w:r>
          </w:p>
        </w:tc>
      </w:tr>
      <w:tr>
        <w:tc>
          <w:tcPr>
            <w:tcW w:w="2400" w:type="dxa"/>
          </w:tcPr>
          <w:p>
            <w:r>
              <w:t xml:space="preserve">tier1_urgent</w:t>
            </w:r>
          </w:p>
        </w:tc>
        <w:tc>
          <w:tcPr>
            <w:tcW w:w="2400" w:type="dxa"/>
          </w:tcPr>
          <w:p>
            <w:r>
              <w:t xml:space="preserve">99</w:t>
            </w:r>
          </w:p>
        </w:tc>
      </w:tr>
      <w:tr>
        <w:tc>
          <w:tcPr>
            <w:tcW w:w="2400" w:type="dxa"/>
          </w:tcPr>
          <w:p>
            <w:r>
              <w:t xml:space="preserve">tier2_high</w:t>
            </w:r>
          </w:p>
        </w:tc>
        <w:tc>
          <w:tcPr>
            <w:tcW w:w="2400" w:type="dxa"/>
          </w:tcPr>
          <w:p>
            <w:r>
              <w:t xml:space="preserve">760</w:t>
            </w:r>
          </w:p>
        </w:tc>
      </w:tr>
      <w:tr>
        <w:tc>
          <w:tcPr>
            <w:tcW w:w="2400" w:type="dxa"/>
          </w:tcPr>
          <w:p>
            <w:r>
              <w:t xml:space="preserve">tier3_medium</w:t>
            </w:r>
          </w:p>
        </w:tc>
        <w:tc>
          <w:tcPr>
            <w:tcW w:w="2400" w:type="dxa"/>
          </w:tcPr>
          <w:p>
            <w:r>
              <w:t xml:space="preserve">733</w:t>
            </w:r>
          </w:p>
        </w:tc>
      </w:tr>
      <w:tr>
        <w:tc>
          <w:tcPr>
            <w:tcW w:w="2400" w:type="dxa"/>
          </w:tcPr>
          <w:p>
            <w:r>
              <w:t xml:space="preserve">tier4_low</w:t>
            </w:r>
          </w:p>
        </w:tc>
        <w:tc>
          <w:tcPr>
            <w:tcW w:w="2400" w:type="dxa"/>
          </w:tcPr>
          <w:p>
            <w:r>
              <w:t xml:space="preserve">6562</w:t>
            </w:r>
          </w:p>
        </w:tc>
      </w:tr>
    </w:tbl>
    <w:p>
      <w:r>
        <w:t xml:space="preserve">The practical first-pass review list is therefore not all VUS, but primarily the tier1_urgent and tier2_high groups.</w:t>
      </w:r>
    </w:p>
    <w:p>
      <w:pPr>
        <w:pStyle w:val="Heading3"/>
      </w:pPr>
      <w:r>
        <w:t xml:space="preserve">Neighborhood Contribution To The Priority Score</w:t>
      </w:r>
    </w:p>
    <w:p>
      <w:r>
        <w:t xml:space="preserve">Because the precomputed map is generated by the same automated Module 1 rules that define the neighboring benign and pathogenic groups, local-neighborhood signals are not independent evidence. We therefore repeated the priority-tier assignment after removing the two neighborhood-derived score components:</w:t>
      </w:r>
    </w:p>
    <w:p>
      <w:pPr>
        <w:pStyle w:val="ListBullet"/>
        <w:ind w:left="720" w:hanging="360"/>
      </w:pPr>
      <w:r>
        <w:t xml:space="preserve">near_pathogenic_dense: 12 points</w:t>
      </w:r>
    </w:p>
    <w:p>
      <w:pPr>
        <w:pStyle w:val="ListBullet"/>
        <w:ind w:left="720" w:hanging="360"/>
      </w:pPr>
      <w:r>
        <w:t xml:space="preserve">high_spliceai_in_benign_dense_region: 8 points</w:t>
      </w:r>
    </w:p>
    <w:p>
      <w:r>
        <w:t xml:space="preserve">This sensitivity analysis showed that neighborhood context contributes substantially to the current high-priority queue: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tblGrid>
      <w:tr>
        <w:tc>
          <w:tcPr>
            <w:tcW w:w="2400" w:type="dxa"/>
            <w:shd w:fill="EDEDED"/>
          </w:tcPr>
          <w:p>
            <w:r>
              <w:t xml:space="preserve">Metric</w:t>
            </w:r>
          </w:p>
        </w:tc>
        <w:tc>
          <w:tcPr>
            <w:tcW w:w="2400" w:type="dxa"/>
            <w:shd w:fill="EDEDED"/>
          </w:tcPr>
          <w:p>
            <w:r>
              <w:t xml:space="preserve">Count</w:t>
            </w:r>
          </w:p>
        </w:tc>
        <w:tc>
          <w:tcPr>
            <w:tcW w:w="2400" w:type="dxa"/>
            <w:shd w:fill="EDEDED"/>
          </w:tcPr>
          <w:p>
            <w:r>
              <w:t xml:space="preserve">Percent of VUS</w:t>
            </w:r>
          </w:p>
        </w:tc>
      </w:tr>
      <w:tr>
        <w:tc>
          <w:tcPr>
            <w:tcW w:w="2400" w:type="dxa"/>
          </w:tcPr>
          <w:p>
            <w:r>
              <w:t xml:space="preserve">total VUS</w:t>
            </w:r>
          </w:p>
        </w:tc>
        <w:tc>
          <w:tcPr>
            <w:tcW w:w="2400" w:type="dxa"/>
          </w:tcPr>
          <w:p>
            <w:r>
              <w:t xml:space="preserve">8154</w:t>
            </w:r>
          </w:p>
        </w:tc>
        <w:tc>
          <w:tcPr>
            <w:tcW w:w="2400" w:type="dxa"/>
          </w:tcPr>
          <w:p>
            <w:r>
              <w:t xml:space="preserve">100.00</w:t>
            </w:r>
          </w:p>
        </w:tc>
      </w:tr>
      <w:tr>
        <w:tc>
          <w:tcPr>
            <w:tcW w:w="2400" w:type="dxa"/>
          </w:tcPr>
          <w:p>
            <w:r>
              <w:t xml:space="preserve">VUS with any neighborhood reason</w:t>
            </w:r>
          </w:p>
        </w:tc>
        <w:tc>
          <w:tcPr>
            <w:tcW w:w="2400" w:type="dxa"/>
          </w:tcPr>
          <w:p>
            <w:r>
              <w:t xml:space="preserve">6249</w:t>
            </w:r>
          </w:p>
        </w:tc>
        <w:tc>
          <w:tcPr>
            <w:tcW w:w="2400" w:type="dxa"/>
          </w:tcPr>
          <w:p>
            <w:r>
              <w:t xml:space="preserve">76.64</w:t>
            </w:r>
          </w:p>
        </w:tc>
      </w:tr>
      <w:tr>
        <w:tc>
          <w:tcPr>
            <w:tcW w:w="2400" w:type="dxa"/>
          </w:tcPr>
          <w:p>
            <w:r>
              <w:t xml:space="preserve">VUS with only neighborhood reasons</w:t>
            </w:r>
          </w:p>
        </w:tc>
        <w:tc>
          <w:tcPr>
            <w:tcW w:w="2400" w:type="dxa"/>
          </w:tcPr>
          <w:p>
            <w:r>
              <w:t xml:space="preserve">5018</w:t>
            </w:r>
          </w:p>
        </w:tc>
        <w:tc>
          <w:tcPr>
            <w:tcW w:w="2400" w:type="dxa"/>
          </w:tcPr>
          <w:p>
            <w:r>
              <w:t xml:space="preserve">61.54</w:t>
            </w:r>
          </w:p>
        </w:tc>
      </w:tr>
      <w:tr>
        <w:tc>
          <w:tcPr>
            <w:tcW w:w="2400" w:type="dxa"/>
          </w:tcPr>
          <w:p>
            <w:r>
              <w:t xml:space="preserve">tier1/tier2 original</w:t>
            </w:r>
          </w:p>
        </w:tc>
        <w:tc>
          <w:tcPr>
            <w:tcW w:w="2400" w:type="dxa"/>
          </w:tcPr>
          <w:p>
            <w:r>
              <w:t xml:space="preserve">859</w:t>
            </w:r>
          </w:p>
        </w:tc>
        <w:tc>
          <w:tcPr>
            <w:tcW w:w="2400" w:type="dxa"/>
          </w:tcPr>
          <w:p>
            <w:r>
              <w:t xml:space="preserve">10.53</w:t>
            </w:r>
          </w:p>
        </w:tc>
      </w:tr>
      <w:tr>
        <w:tc>
          <w:tcPr>
            <w:tcW w:w="2400" w:type="dxa"/>
          </w:tcPr>
          <w:p>
            <w:r>
              <w:t xml:space="preserve">tier1/tier2 without neighborhood points</w:t>
            </w:r>
          </w:p>
        </w:tc>
        <w:tc>
          <w:tcPr>
            <w:tcW w:w="2400" w:type="dxa"/>
          </w:tcPr>
          <w:p>
            <w:r>
              <w:t xml:space="preserve">286</w:t>
            </w:r>
          </w:p>
        </w:tc>
        <w:tc>
          <w:tcPr>
            <w:tcW w:w="2400" w:type="dxa"/>
          </w:tcPr>
          <w:p>
            <w:r>
              <w:t xml:space="preserve">3.51</w:t>
            </w:r>
          </w:p>
        </w:tc>
      </w:tr>
      <w:tr>
        <w:tc>
          <w:tcPr>
            <w:tcW w:w="2400" w:type="dxa"/>
          </w:tcPr>
          <w:p>
            <w:r>
              <w:t xml:space="preserve">lost tier1/tier2 without neighborhood points</w:t>
            </w:r>
          </w:p>
        </w:tc>
        <w:tc>
          <w:tcPr>
            <w:tcW w:w="2400" w:type="dxa"/>
          </w:tcPr>
          <w:p>
            <w:r>
              <w:t xml:space="preserve">573</w:t>
            </w:r>
          </w:p>
        </w:tc>
        <w:tc>
          <w:tcPr>
            <w:tcW w:w="2400" w:type="dxa"/>
          </w:tcPr>
          <w:p>
            <w:r>
              <w:t xml:space="preserve">7.03</w:t>
            </w:r>
          </w:p>
        </w:tc>
      </w:tr>
    </w:tbl>
    <w:p>
      <w:r>
        <w:t xml:space="preserve">The interpretation is therefore deliberately cautious. VUS that remain tier1/tier2 after removing neighborhood points are prioritized mainly by variant-level signals such as SpliceAI, boundary proximity, PS3, PP3, PS1, PVS1, or BS3, or by precomputed multifactorial LR evidence such as PP4. VUS that drop out of tier1/tier2 after removing neighborhood points should be labelled as neighborhood-driven candidates. These are useful for mechanism review and visual triage, but they should not be presented as independently high-priority without external validation.</w:t>
      </w:r>
    </w:p>
    <w:p>
      <w:pPr>
        <w:pStyle w:val="Heading3"/>
      </w:pPr>
      <w:r>
        <w:t xml:space="preserve">VUS Bottleneck Analysis</w:t>
      </w:r>
    </w:p>
    <w:p>
      <w:r>
        <w:t xml:space="preserve">VUS were grouped by the reason they remained uncertain. The major bottlenecks were: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tblGrid>
      <w:tr>
        <w:tc>
          <w:tcPr>
            <w:tcW w:w="2400" w:type="dxa"/>
            <w:shd w:fill="EDEDED"/>
          </w:tcPr>
          <w:p>
            <w:r>
              <w:t xml:space="preserve">Bottleneck</w:t>
            </w:r>
          </w:p>
        </w:tc>
        <w:tc>
          <w:tcPr>
            <w:tcW w:w="2400" w:type="dxa"/>
            <w:shd w:fill="EDEDED"/>
          </w:tcPr>
          <w:p>
            <w:r>
              <w:t xml:space="preserve">Count</w:t>
            </w:r>
          </w:p>
        </w:tc>
        <w:tc>
          <w:tcPr>
            <w:tcW w:w="2400" w:type="dxa"/>
            <w:shd w:fill="EDEDED"/>
          </w:tcPr>
          <w:p>
            <w:r>
              <w:t xml:space="preserve">Interpretation</w:t>
            </w:r>
          </w:p>
        </w:tc>
      </w:tr>
      <w:tr>
        <w:tc>
          <w:tcPr>
            <w:tcW w:w="2400" w:type="dxa"/>
          </w:tcPr>
          <w:p>
            <w:r>
              <w:t xml:space="preserve">PM2_only</w:t>
            </w:r>
          </w:p>
        </w:tc>
        <w:tc>
          <w:tcPr>
            <w:tcW w:w="2400" w:type="dxa"/>
          </w:tcPr>
          <w:p>
            <w:r>
              <w:t xml:space="preserve">5046</w:t>
            </w:r>
          </w:p>
        </w:tc>
        <w:tc>
          <w:tcPr>
            <w:tcW w:w="2400" w:type="dxa"/>
          </w:tcPr>
          <w:p>
            <w:r>
              <w:t xml:space="preserve">population absence is the only supporting pathogenic evidence</w:t>
            </w:r>
          </w:p>
        </w:tc>
      </w:tr>
      <w:tr>
        <w:tc>
          <w:tcPr>
            <w:tcW w:w="2400" w:type="dxa"/>
          </w:tcPr>
          <w:p>
            <w:r>
              <w:t xml:space="preserve">mixed_splice_benign_and_pathogenic</w:t>
            </w:r>
          </w:p>
        </w:tc>
        <w:tc>
          <w:tcPr>
            <w:tcW w:w="2400" w:type="dxa"/>
          </w:tcPr>
          <w:p>
            <w:r>
              <w:t xml:space="preserve">1276</w:t>
            </w:r>
          </w:p>
        </w:tc>
        <w:tc>
          <w:tcPr>
            <w:tcW w:w="2400" w:type="dxa"/>
          </w:tcPr>
          <w:p>
            <w:r>
              <w:t xml:space="preserve">benign splice evidence plus PM2 background</w:t>
            </w:r>
          </w:p>
        </w:tc>
      </w:tr>
      <w:tr>
        <w:tc>
          <w:tcPr>
            <w:tcW w:w="2400" w:type="dxa"/>
          </w:tcPr>
          <w:p>
            <w:r>
              <w:t xml:space="preserve">computational_pathogenic_evidence_not_enough</w:t>
            </w:r>
          </w:p>
        </w:tc>
        <w:tc>
          <w:tcPr>
            <w:tcW w:w="2400" w:type="dxa"/>
          </w:tcPr>
          <w:p>
            <w:r>
              <w:t xml:space="preserve">842</w:t>
            </w:r>
          </w:p>
        </w:tc>
        <w:tc>
          <w:tcPr>
            <w:tcW w:w="2400" w:type="dxa"/>
          </w:tcPr>
          <w:p>
            <w:r>
              <w:t xml:space="preserve">PP3 or SpliceAI signal is insufficient alone</w:t>
            </w:r>
          </w:p>
        </w:tc>
      </w:tr>
      <w:tr>
        <w:tc>
          <w:tcPr>
            <w:tcW w:w="2400" w:type="dxa"/>
          </w:tcPr>
          <w:p>
            <w:r>
              <w:t xml:space="preserve">strong_pathogenic_combo_one_step_short</w:t>
            </w:r>
          </w:p>
        </w:tc>
        <w:tc>
          <w:tcPr>
            <w:tcW w:w="2400" w:type="dxa"/>
          </w:tcPr>
          <w:p>
            <w:r>
              <w:t xml:space="preserve">446</w:t>
            </w:r>
          </w:p>
        </w:tc>
        <w:tc>
          <w:tcPr>
            <w:tcW w:w="2400" w:type="dxa"/>
          </w:tcPr>
          <w:p>
            <w:r>
              <w:t xml:space="preserve">strong pathogenic evidence but missing one accepted item</w:t>
            </w:r>
          </w:p>
        </w:tc>
      </w:tr>
      <w:tr>
        <w:tc>
          <w:tcPr>
            <w:tcW w:w="2400" w:type="dxa"/>
          </w:tcPr>
          <w:p>
            <w:r>
              <w:t xml:space="preserve">no_automated_evidence</w:t>
            </w:r>
          </w:p>
        </w:tc>
        <w:tc>
          <w:tcPr>
            <w:tcW w:w="2400" w:type="dxa"/>
          </w:tcPr>
          <w:p>
            <w:r>
              <w:t xml:space="preserve">331</w:t>
            </w:r>
          </w:p>
        </w:tc>
        <w:tc>
          <w:tcPr>
            <w:tcW w:w="2400" w:type="dxa"/>
          </w:tcPr>
          <w:p>
            <w:r>
              <w:t xml:space="preserve">no useful Module 1 evidence</w:t>
            </w:r>
          </w:p>
        </w:tc>
      </w:tr>
      <w:tr>
        <w:tc>
          <w:tcPr>
            <w:tcW w:w="2400" w:type="dxa"/>
          </w:tcPr>
          <w:p>
            <w:r>
              <w:t xml:space="preserve">benign_functional_evidence_not_enough</w:t>
            </w:r>
          </w:p>
        </w:tc>
        <w:tc>
          <w:tcPr>
            <w:tcW w:w="2400" w:type="dxa"/>
          </w:tcPr>
          <w:p>
            <w:r>
              <w:t xml:space="preserve">170</w:t>
            </w:r>
          </w:p>
        </w:tc>
        <w:tc>
          <w:tcPr>
            <w:tcW w:w="2400" w:type="dxa"/>
          </w:tcPr>
          <w:p>
            <w:r>
              <w:t xml:space="preserve">benign evidence present but not enough for benign class</w:t>
            </w:r>
          </w:p>
        </w:tc>
      </w:tr>
    </w:tbl>
    <w:p>
      <w:r>
        <w:t xml:space="preserve">This short table shows the largest bottleneck groups, not all mutually exclusive categories. The complete bottleneck analysis contains 8154 VUS; the six groups shown above account for 8111 VUS, leaving 43 VUS in smaller categories.</w:t>
      </w:r>
    </w:p>
    <w:p>
      <w:r>
        <w:t xml:space="preserve">This shows that most VUS are not dramatic edge cases. Many are low-information variants where automated Module 1 evidence is incomplete. PM2_Supporting is an independent supporting pathogenic criterion, but it is weak and insufficient by itself to move a variant out of VUS.</w:t>
      </w:r>
    </w:p>
    <w:p>
      <w:pPr>
        <w:pStyle w:val="Heading3"/>
      </w:pPr>
      <w:r>
        <w:t xml:space="preserve">Evidence Action Plan</w:t>
      </w:r>
    </w:p>
    <w:p>
      <w:r>
        <w:t xml:space="preserve">The bottleneck table was converted into a practical next-evidence worklist. This does not add points and does not reclassify variants. It asks which type of additional variant-level evidence would be most useful for each unresolved VUS group.</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tblGrid>
      <w:tr>
        <w:tc>
          <w:tcPr>
            <w:tcW w:w="2400" w:type="dxa"/>
            <w:shd w:fill="EDEDED"/>
          </w:tcPr>
          <w:p>
            <w:r>
              <w:t xml:space="preserve">Action group</w:t>
            </w:r>
          </w:p>
        </w:tc>
        <w:tc>
          <w:tcPr>
            <w:tcW w:w="2400" w:type="dxa"/>
            <w:shd w:fill="EDEDED"/>
          </w:tcPr>
          <w:p>
            <w:r>
              <w:t xml:space="preserve">Count</w:t>
            </w:r>
          </w:p>
        </w:tc>
        <w:tc>
          <w:tcPr>
            <w:tcW w:w="2400" w:type="dxa"/>
            <w:shd w:fill="EDEDED"/>
          </w:tcPr>
          <w:p>
            <w:r>
              <w:t xml:space="preserve">Main interpretation</w:t>
            </w:r>
          </w:p>
        </w:tc>
      </w:tr>
      <w:tr>
        <w:tc>
          <w:tcPr>
            <w:tcW w:w="2400" w:type="dxa"/>
          </w:tcPr>
          <w:p>
            <w:r>
              <w:t xml:space="preserve">background_absence_only</w:t>
            </w:r>
          </w:p>
        </w:tc>
        <w:tc>
          <w:tcPr>
            <w:tcW w:w="2400" w:type="dxa"/>
          </w:tcPr>
          <w:p>
            <w:r>
              <w:t xml:space="preserve">5048</w:t>
            </w:r>
          </w:p>
        </w:tc>
        <w:tc>
          <w:tcPr>
            <w:tcW w:w="2400" w:type="dxa"/>
          </w:tcPr>
          <w:p>
            <w:r>
              <w:t xml:space="preserve">PM2 alone or weak context only; low first-pass yield unless external evidence already exists</w:t>
            </w:r>
          </w:p>
        </w:tc>
      </w:tr>
      <w:tr>
        <w:tc>
          <w:tcPr>
            <w:tcW w:w="2400" w:type="dxa"/>
          </w:tcPr>
          <w:p>
            <w:r>
              <w:t xml:space="preserve">conflicting_computational_splice_context</w:t>
            </w:r>
          </w:p>
        </w:tc>
        <w:tc>
          <w:tcPr>
            <w:tcW w:w="2400" w:type="dxa"/>
          </w:tcPr>
          <w:p>
            <w:r>
              <w:t xml:space="preserve">1276</w:t>
            </w:r>
          </w:p>
        </w:tc>
        <w:tc>
          <w:tcPr>
            <w:tcW w:w="2400" w:type="dxa"/>
          </w:tcPr>
          <w:p>
            <w:r>
              <w:t xml:space="preserve">benign splice/RNA branch and pathogenic context need transcript-aware manual review</w:t>
            </w:r>
          </w:p>
        </w:tc>
      </w:tr>
      <w:tr>
        <w:tc>
          <w:tcPr>
            <w:tcW w:w="2400" w:type="dxa"/>
          </w:tcPr>
          <w:p>
            <w:r>
              <w:t xml:space="preserve">computational_signal_needs_noncomputational_support</w:t>
            </w:r>
          </w:p>
        </w:tc>
        <w:tc>
          <w:tcPr>
            <w:tcW w:w="2400" w:type="dxa"/>
          </w:tcPr>
          <w:p>
            <w:r>
              <w:t xml:space="preserve">842</w:t>
            </w:r>
          </w:p>
        </w:tc>
        <w:tc>
          <w:tcPr>
            <w:tcW w:w="2400" w:type="dxa"/>
          </w:tcPr>
          <w:p>
            <w:r>
              <w:t xml:space="preserve">SpliceAI/PP3 signal needs RNA, functional, PS4, PP1, PM3, or curated assertion support</w:t>
            </w:r>
          </w:p>
        </w:tc>
      </w:tr>
      <w:tr>
        <w:tc>
          <w:tcPr>
            <w:tcW w:w="2400" w:type="dxa"/>
          </w:tcPr>
          <w:p>
            <w:r>
              <w:t xml:space="preserve">near_pathogenic_threshold</w:t>
            </w:r>
          </w:p>
        </w:tc>
        <w:tc>
          <w:tcPr>
            <w:tcW w:w="2400" w:type="dxa"/>
          </w:tcPr>
          <w:p>
            <w:r>
              <w:t xml:space="preserve">446</w:t>
            </w:r>
          </w:p>
        </w:tc>
        <w:tc>
          <w:tcPr>
            <w:tcW w:w="2400" w:type="dxa"/>
          </w:tcPr>
          <w:p>
            <w:r>
              <w:t xml:space="preserve">one independent pathogenic evidence item may move the case toward likely pathogenic</w:t>
            </w:r>
          </w:p>
        </w:tc>
      </w:tr>
      <w:tr>
        <w:tc>
          <w:tcPr>
            <w:tcW w:w="2400" w:type="dxa"/>
          </w:tcPr>
          <w:p>
            <w:r>
              <w:t xml:space="preserve">module1_no_signal</w:t>
            </w:r>
          </w:p>
        </w:tc>
        <w:tc>
          <w:tcPr>
            <w:tcW w:w="2400" w:type="dxa"/>
          </w:tcPr>
          <w:p>
            <w:r>
              <w:t xml:space="preserve">331</w:t>
            </w:r>
          </w:p>
        </w:tc>
        <w:tc>
          <w:tcPr>
            <w:tcW w:w="2400" w:type="dxa"/>
          </w:tcPr>
          <w:p>
            <w:r>
              <w:t xml:space="preserve">no useful automated Module 1 signal; external public/literature/lab evidence is needed</w:t>
            </w:r>
          </w:p>
        </w:tc>
      </w:tr>
      <w:tr>
        <w:tc>
          <w:tcPr>
            <w:tcW w:w="2400" w:type="dxa"/>
          </w:tcPr>
          <w:p>
            <w:r>
              <w:t xml:space="preserve">near_benign_threshold</w:t>
            </w:r>
          </w:p>
        </w:tc>
        <w:tc>
          <w:tcPr>
            <w:tcW w:w="2400" w:type="dxa"/>
          </w:tcPr>
          <w:p>
            <w:r>
              <w:t xml:space="preserve">191</w:t>
            </w:r>
          </w:p>
        </w:tc>
        <w:tc>
          <w:tcPr>
            <w:tcW w:w="2400" w:type="dxa"/>
          </w:tcPr>
          <w:p>
            <w:r>
              <w:t xml:space="preserve">extra benign evidence or stronger benign functional evidence may resolve the case</w:t>
            </w:r>
          </w:p>
        </w:tc>
      </w:tr>
      <w:tr>
        <w:tc>
          <w:tcPr>
            <w:tcW w:w="2400" w:type="dxa"/>
          </w:tcPr>
          <w:p>
            <w:r>
              <w:t xml:space="preserve">manual_conflict_adjudication</w:t>
            </w:r>
          </w:p>
        </w:tc>
        <w:tc>
          <w:tcPr>
            <w:tcW w:w="2400" w:type="dxa"/>
          </w:tcPr>
          <w:p>
            <w:r>
              <w:t xml:space="preserve">20</w:t>
            </w:r>
          </w:p>
        </w:tc>
        <w:tc>
          <w:tcPr>
            <w:tcW w:w="2400" w:type="dxa"/>
          </w:tcPr>
          <w:p>
            <w:r>
              <w:t xml:space="preserve">mixed benign and pathogenic evidence requires case-specific review</w:t>
            </w:r>
          </w:p>
        </w:tc>
      </w:tr>
    </w:tbl>
    <w:p>
      <w:r>
        <w:t xml:space="preserve">This makes the review queue more useful than a simple ranked list. Variants whose only pathogenic-direction signal is a computational splice prediction are good targets for RNA or functional follow-up. Variants with nothing beyond population absence are usually not efficient first-pass targets unless public, literature, or local laboratory evidence already exists.</w:t>
      </w:r>
    </w:p>
    <w:p>
      <w:pPr>
        <w:pStyle w:val="Heading3"/>
      </w:pPr>
      <w:r>
        <w:t xml:space="preserve">Independent Functional Axis: Findlay SGE</w:t>
      </w:r>
    </w:p>
    <w:p>
      <w:r>
        <w:t xml:space="preserve">For the one setting with dense functional data, the BRCA1 RING and BRCT regions, the priority score can be checked against a continuous saturation genome editing score from Findlay et al. 2018. The check is only partial. There is no comparable dense axis for BRCA2, and even here the independence is imperfect because some local PS3 and BS3 evidence comes from the same SGE dataset. With that caveat, 673 BRCA1 VUS could be matched to an SGE score.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gridCol w:w="2400"/>
        <w:gridCol w:w="2400"/>
        <w:gridCol w:w="2400"/>
      </w:tblGrid>
      <w:tr>
        <w:tc>
          <w:tcPr>
            <w:tcW w:w="2400" w:type="dxa"/>
            <w:shd w:fill="EDEDED"/>
          </w:tcPr>
          <w:p>
            <w:r>
              <w:t xml:space="preserve">Priority tier</w:t>
            </w:r>
          </w:p>
        </w:tc>
        <w:tc>
          <w:tcPr>
            <w:tcW w:w="2400" w:type="dxa"/>
            <w:shd w:fill="EDEDED"/>
          </w:tcPr>
          <w:p>
            <w:r>
              <w:t xml:space="preserve">Count</w:t>
            </w:r>
          </w:p>
        </w:tc>
        <w:tc>
          <w:tcPr>
            <w:tcW w:w="2400" w:type="dxa"/>
            <w:shd w:fill="EDEDED"/>
          </w:tcPr>
          <w:p>
            <w:r>
              <w:t xml:space="preserve">Median function score</w:t>
            </w:r>
          </w:p>
        </w:tc>
        <w:tc>
          <w:tcPr>
            <w:tcW w:w="2400" w:type="dxa"/>
            <w:shd w:fill="EDEDED"/>
          </w:tcPr>
          <w:p>
            <w:r>
              <w:t xml:space="preserve">LOF</w:t>
            </w:r>
          </w:p>
        </w:tc>
        <w:tc>
          <w:tcPr>
            <w:tcW w:w="2400" w:type="dxa"/>
            <w:shd w:fill="EDEDED"/>
          </w:tcPr>
          <w:p>
            <w:r>
              <w:t xml:space="preserve">INT</w:t>
            </w:r>
          </w:p>
        </w:tc>
        <w:tc>
          <w:tcPr>
            <w:tcW w:w="2400" w:type="dxa"/>
            <w:shd w:fill="EDEDED"/>
          </w:tcPr>
          <w:p>
            <w:r>
              <w:t xml:space="preserve">FUNC</w:t>
            </w:r>
          </w:p>
        </w:tc>
      </w:tr>
      <w:tr>
        <w:tc>
          <w:tcPr>
            <w:tcW w:w="2400" w:type="dxa"/>
          </w:tcPr>
          <w:p>
            <w:r>
              <w:t xml:space="preserve">tier1_urgent</w:t>
            </w:r>
          </w:p>
        </w:tc>
        <w:tc>
          <w:tcPr>
            <w:tcW w:w="2400" w:type="dxa"/>
          </w:tcPr>
          <w:p>
            <w:r>
              <w:t xml:space="preserve">9</w:t>
            </w:r>
          </w:p>
        </w:tc>
        <w:tc>
          <w:tcPr>
            <w:tcW w:w="2400" w:type="dxa"/>
          </w:tcPr>
          <w:p>
            <w:r>
              <w:t xml:space="preserve">-1.951</w:t>
            </w:r>
          </w:p>
        </w:tc>
        <w:tc>
          <w:tcPr>
            <w:tcW w:w="2400" w:type="dxa"/>
          </w:tcPr>
          <w:p>
            <w:r>
              <w:t xml:space="preserve">6</w:t>
            </w:r>
          </w:p>
        </w:tc>
        <w:tc>
          <w:tcPr>
            <w:tcW w:w="2400" w:type="dxa"/>
          </w:tcPr>
          <w:p>
            <w:r>
              <w:t xml:space="preserve">3</w:t>
            </w:r>
          </w:p>
        </w:tc>
        <w:tc>
          <w:tcPr>
            <w:tcW w:w="2400" w:type="dxa"/>
          </w:tcPr>
          <w:p>
            <w:r>
              <w:t xml:space="preserve">0</w:t>
            </w:r>
          </w:p>
        </w:tc>
      </w:tr>
      <w:tr>
        <w:tc>
          <w:tcPr>
            <w:tcW w:w="2400" w:type="dxa"/>
          </w:tcPr>
          <w:p>
            <w:r>
              <w:t xml:space="preserve">tier2_high</w:t>
            </w:r>
          </w:p>
        </w:tc>
        <w:tc>
          <w:tcPr>
            <w:tcW w:w="2400" w:type="dxa"/>
          </w:tcPr>
          <w:p>
            <w:r>
              <w:t xml:space="preserve">46</w:t>
            </w:r>
          </w:p>
        </w:tc>
        <w:tc>
          <w:tcPr>
            <w:tcW w:w="2400" w:type="dxa"/>
          </w:tcPr>
          <w:p>
            <w:r>
              <w:t xml:space="preserve">-1.647</w:t>
            </w:r>
          </w:p>
        </w:tc>
        <w:tc>
          <w:tcPr>
            <w:tcW w:w="2400" w:type="dxa"/>
          </w:tcPr>
          <w:p>
            <w:r>
              <w:t xml:space="preserve">30</w:t>
            </w:r>
          </w:p>
        </w:tc>
        <w:tc>
          <w:tcPr>
            <w:tcW w:w="2400" w:type="dxa"/>
          </w:tcPr>
          <w:p>
            <w:r>
              <w:t xml:space="preserve">15</w:t>
            </w:r>
          </w:p>
        </w:tc>
        <w:tc>
          <w:tcPr>
            <w:tcW w:w="2400" w:type="dxa"/>
          </w:tcPr>
          <w:p>
            <w:r>
              <w:t xml:space="preserve">1</w:t>
            </w:r>
          </w:p>
        </w:tc>
      </w:tr>
      <w:tr>
        <w:tc>
          <w:tcPr>
            <w:tcW w:w="2400" w:type="dxa"/>
          </w:tcPr>
          <w:p>
            <w:r>
              <w:t xml:space="preserve">tier3_medium</w:t>
            </w:r>
          </w:p>
        </w:tc>
        <w:tc>
          <w:tcPr>
            <w:tcW w:w="2400" w:type="dxa"/>
          </w:tcPr>
          <w:p>
            <w:r>
              <w:t xml:space="preserve">365</w:t>
            </w:r>
          </w:p>
        </w:tc>
        <w:tc>
          <w:tcPr>
            <w:tcW w:w="2400" w:type="dxa"/>
          </w:tcPr>
          <w:p>
            <w:r>
              <w:t xml:space="preserve">-1.891</w:t>
            </w:r>
          </w:p>
        </w:tc>
        <w:tc>
          <w:tcPr>
            <w:tcW w:w="2400" w:type="dxa"/>
          </w:tcPr>
          <w:p>
            <w:r>
              <w:t xml:space="preserve">303</w:t>
            </w:r>
          </w:p>
        </w:tc>
        <w:tc>
          <w:tcPr>
            <w:tcW w:w="2400" w:type="dxa"/>
          </w:tcPr>
          <w:p>
            <w:r>
              <w:t xml:space="preserve">15</w:t>
            </w:r>
          </w:p>
        </w:tc>
        <w:tc>
          <w:tcPr>
            <w:tcW w:w="2400" w:type="dxa"/>
          </w:tcPr>
          <w:p>
            <w:r>
              <w:t xml:space="preserve">47</w:t>
            </w:r>
          </w:p>
        </w:tc>
      </w:tr>
      <w:tr>
        <w:tc>
          <w:tcPr>
            <w:tcW w:w="2400" w:type="dxa"/>
          </w:tcPr>
          <w:p>
            <w:r>
              <w:t xml:space="preserve">tier4_low</w:t>
            </w:r>
          </w:p>
        </w:tc>
        <w:tc>
          <w:tcPr>
            <w:tcW w:w="2400" w:type="dxa"/>
          </w:tcPr>
          <w:p>
            <w:r>
              <w:t xml:space="preserve">253</w:t>
            </w:r>
          </w:p>
        </w:tc>
        <w:tc>
          <w:tcPr>
            <w:tcW w:w="2400" w:type="dxa"/>
          </w:tcPr>
          <w:p>
            <w:r>
              <w:t xml:space="preserve">-0.828</w:t>
            </w:r>
          </w:p>
        </w:tc>
        <w:tc>
          <w:tcPr>
            <w:tcW w:w="2400" w:type="dxa"/>
          </w:tcPr>
          <w:p>
            <w:r>
              <w:t xml:space="preserve">14</w:t>
            </w:r>
          </w:p>
        </w:tc>
        <w:tc>
          <w:tcPr>
            <w:tcW w:w="2400" w:type="dxa"/>
          </w:tcPr>
          <w:p>
            <w:r>
              <w:t xml:space="preserve">139</w:t>
            </w:r>
          </w:p>
        </w:tc>
        <w:tc>
          <w:tcPr>
            <w:tcW w:w="2400" w:type="dxa"/>
          </w:tcPr>
          <w:p>
            <w:r>
              <w:t xml:space="preserve">100</w:t>
            </w:r>
          </w:p>
        </w:tc>
      </w:tr>
    </w:tbl>
    <w:p>
      <w:r>
        <w:t xml:space="preserve">The agreement is only coarse. Tier4 stands apart as the more function-preserved, benign-leaning group, so the score separates out many cases least worth reviewing first. The finer ordering is not supported. Tier3, not tier1 or tier2, contains the largest number and fraction of LOF-class variants: 303 of 365 tier3 VUS are LOF, compared with 6 of 9 in tier1 and 30 of 46 in tier2. The tier1 and tier2 counts are small, so their medians should not be overread.</w:t>
      </w:r>
    </w:p>
    <w:p>
      <w:r>
        <w:t xml:space="preserve">This inversion is the informative part. Almost all of those tier3 LOF variants, 302 of 303, already carry PS3 in the combination PM2_Supporting+PS3. They sit in tier3 not because the evidence is weak, but because of how the review score is built. PS3 is worth 25 priority points, and tier3 begins at 25, so a variant whose strongest signal is measured functional damage lands at the floor of tier3 by construction. A high SpliceAI prediction scores 30 and reaches a higher tier. As currently weighted, the review score can place measured loss of function below a predicted splice effect.</w:t>
      </w:r>
    </w:p>
    <w:p>
      <w:r>
        <w:t xml:space="preserve">This points to a concrete sensitivity test for a later version: whether direct functional evidence should carry at least as much triage weight as a prediction, with review-priority weighting kept separate from classification scoring.</w:t>
      </w:r>
    </w:p>
    <w:p>
      <w:r>
        <w:t xml:space="preserve">The same finding appears from the evidence-action perspective: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tblGrid>
      <w:tr>
        <w:tc>
          <w:tcPr>
            <w:tcW w:w="2400" w:type="dxa"/>
            <w:shd w:fill="EDEDED"/>
          </w:tcPr>
          <w:p>
            <w:r>
              <w:t xml:space="preserve">Tier3 Findlay LOF overlap</w:t>
            </w:r>
          </w:p>
        </w:tc>
        <w:tc>
          <w:tcPr>
            <w:tcW w:w="2400" w:type="dxa"/>
            <w:shd w:fill="EDEDED"/>
          </w:tcPr>
          <w:p>
            <w:r>
              <w:t xml:space="preserve">Count</w:t>
            </w:r>
          </w:p>
        </w:tc>
        <w:tc>
          <w:tcPr>
            <w:tcW w:w="2400" w:type="dxa"/>
            <w:shd w:fill="EDEDED"/>
          </w:tcPr>
          <w:p>
            <w:r>
              <w:t xml:space="preserve">Dominant criteria combo</w:t>
            </w:r>
          </w:p>
        </w:tc>
      </w:tr>
      <w:tr>
        <w:tc>
          <w:tcPr>
            <w:tcW w:w="2400" w:type="dxa"/>
          </w:tcPr>
          <w:p>
            <w:r>
              <w:t xml:space="preserve">near_pathogenic_threshold / strong_pathogenic_combo_one_step_short</w:t>
            </w:r>
          </w:p>
        </w:tc>
        <w:tc>
          <w:tcPr>
            <w:tcW w:w="2400" w:type="dxa"/>
          </w:tcPr>
          <w:p>
            <w:r>
              <w:t xml:space="preserve">302</w:t>
            </w:r>
          </w:p>
        </w:tc>
        <w:tc>
          <w:tcPr>
            <w:tcW w:w="2400" w:type="dxa"/>
          </w:tcPr>
          <w:p>
            <w:r>
              <w:t xml:space="preserve">PM2_Supporting+PS3</w:t>
            </w:r>
          </w:p>
        </w:tc>
      </w:tr>
      <w:tr>
        <w:tc>
          <w:tcPr>
            <w:tcW w:w="2400" w:type="dxa"/>
          </w:tcPr>
          <w:p>
            <w:r>
              <w:t xml:space="preserve">background_absence_only / PM2_plus_weak_context</w:t>
            </w:r>
          </w:p>
        </w:tc>
        <w:tc>
          <w:tcPr>
            <w:tcW w:w="2400" w:type="dxa"/>
          </w:tcPr>
          <w:p>
            <w:r>
              <w:t xml:space="preserve">1</w:t>
            </w:r>
          </w:p>
        </w:tc>
        <w:tc>
          <w:tcPr>
            <w:tcW w:w="2400" w:type="dxa"/>
          </w:tcPr>
          <w:p>
            <w:r>
              <w:t xml:space="preserve">PM2_Supporting+PP4</w:t>
            </w:r>
          </w:p>
        </w:tc>
      </w:tr>
    </w:tbl>
    <w:p>
      <w:r>
        <w:t xml:space="preserve">Thus, Findlay SGE, the evidence action plan, and the Group 1 bottleneck analysis describe the same practical queue from different angles. Review priority and proximity to likely pathogenic are correlated, but they are not the same measurement. These 302 variants are the main place where the two disagree.</w:t>
      </w:r>
    </w:p>
    <w:p>
      <w:pPr>
        <w:pStyle w:val="Heading3"/>
      </w:pPr>
      <w:r>
        <w:t xml:space="preserve">Public Classification Snapshot</w:t>
      </w:r>
    </w:p>
    <w:p>
      <w:r>
        <w:t xml:space="preserve">The highest-priority 80 VUS from the action-plan table were queried against public ClinVar and ClinGen/ENIGMA resources. These public assertions are not a benchmark and not a clinical reference set. They are current clinical/laboratory context that helps identify variants worth immediate manual review, especially when there is a panel-level assertion, a ClinGen/ENIGMA assertion, a public pathogenic or benign direction, or a conflict among submitters.</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Public snapshot category</w:t>
            </w:r>
          </w:p>
        </w:tc>
        <w:tc>
          <w:tcPr>
            <w:tcW w:w="2400" w:type="dxa"/>
            <w:shd w:fill="EDEDED"/>
          </w:tcPr>
          <w:p>
            <w:r>
              <w:t xml:space="preserve">Count</w:t>
            </w:r>
          </w:p>
        </w:tc>
      </w:tr>
      <w:tr>
        <w:tc>
          <w:tcPr>
            <w:tcW w:w="2400" w:type="dxa"/>
          </w:tcPr>
          <w:p>
            <w:r>
              <w:t xml:space="preserve">multi-submitter assertion</w:t>
            </w:r>
          </w:p>
        </w:tc>
        <w:tc>
          <w:tcPr>
            <w:tcW w:w="2400" w:type="dxa"/>
          </w:tcPr>
          <w:p>
            <w:r>
              <w:t xml:space="preserve">28</w:t>
            </w:r>
          </w:p>
        </w:tc>
      </w:tr>
      <w:tr>
        <w:tc>
          <w:tcPr>
            <w:tcW w:w="2400" w:type="dxa"/>
          </w:tcPr>
          <w:p>
            <w:r>
              <w:t xml:space="preserve">single-submitter assertion</w:t>
            </w:r>
          </w:p>
        </w:tc>
        <w:tc>
          <w:tcPr>
            <w:tcW w:w="2400" w:type="dxa"/>
          </w:tcPr>
          <w:p>
            <w:r>
              <w:t xml:space="preserve">28</w:t>
            </w:r>
          </w:p>
        </w:tc>
      </w:tr>
      <w:tr>
        <w:tc>
          <w:tcPr>
            <w:tcW w:w="2400" w:type="dxa"/>
          </w:tcPr>
          <w:p>
            <w:r>
              <w:t xml:space="preserve">conflicting public assertions</w:t>
            </w:r>
          </w:p>
        </w:tc>
        <w:tc>
          <w:tcPr>
            <w:tcW w:w="2400" w:type="dxa"/>
          </w:tcPr>
          <w:p>
            <w:r>
              <w:t xml:space="preserve">11</w:t>
            </w:r>
          </w:p>
        </w:tc>
      </w:tr>
      <w:tr>
        <w:tc>
          <w:tcPr>
            <w:tcW w:w="2400" w:type="dxa"/>
          </w:tcPr>
          <w:p>
            <w:r>
              <w:t xml:space="preserve">no public assertion</w:t>
            </w:r>
          </w:p>
        </w:tc>
        <w:tc>
          <w:tcPr>
            <w:tcW w:w="2400" w:type="dxa"/>
          </w:tcPr>
          <w:p>
            <w:r>
              <w:t xml:space="preserve">7</w:t>
            </w:r>
          </w:p>
        </w:tc>
      </w:tr>
      <w:tr>
        <w:tc>
          <w:tcPr>
            <w:tcW w:w="2400" w:type="dxa"/>
          </w:tcPr>
          <w:p>
            <w:r>
              <w:t xml:space="preserve">panel-level public assertion</w:t>
            </w:r>
          </w:p>
        </w:tc>
        <w:tc>
          <w:tcPr>
            <w:tcW w:w="2400" w:type="dxa"/>
          </w:tcPr>
          <w:p>
            <w:r>
              <w:t xml:space="preserve">4</w:t>
            </w:r>
          </w:p>
        </w:tc>
      </w:tr>
      <w:tr>
        <w:tc>
          <w:tcPr>
            <w:tcW w:w="2400" w:type="dxa"/>
          </w:tcPr>
          <w:p>
            <w:r>
              <w:t xml:space="preserve">ClinGen/ENIGMA assertion</w:t>
            </w:r>
          </w:p>
        </w:tc>
        <w:tc>
          <w:tcPr>
            <w:tcW w:w="2400" w:type="dxa"/>
          </w:tcPr>
          <w:p>
            <w:r>
              <w:t xml:space="preserve">2</w:t>
            </w:r>
          </w:p>
        </w:tc>
      </w:tr>
    </w:tbl>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Worklist label</w:t>
            </w:r>
          </w:p>
        </w:tc>
        <w:tc>
          <w:tcPr>
            <w:tcW w:w="2400" w:type="dxa"/>
            <w:shd w:fill="EDEDED"/>
          </w:tcPr>
          <w:p>
            <w:r>
              <w:t xml:space="preserve">Count</w:t>
            </w:r>
          </w:p>
        </w:tc>
      </w:tr>
      <w:tr>
        <w:tc>
          <w:tcPr>
            <w:tcW w:w="2400" w:type="dxa"/>
          </w:tcPr>
          <w:p>
            <w:r>
              <w:t xml:space="preserve">module1_vus_public_vus</w:t>
            </w:r>
          </w:p>
        </w:tc>
        <w:tc>
          <w:tcPr>
            <w:tcW w:w="2400" w:type="dxa"/>
          </w:tcPr>
          <w:p>
            <w:r>
              <w:t xml:space="preserve">40</w:t>
            </w:r>
          </w:p>
        </w:tc>
      </w:tr>
      <w:tr>
        <w:tc>
          <w:tcPr>
            <w:tcW w:w="2400" w:type="dxa"/>
          </w:tcPr>
          <w:p>
            <w:r>
              <w:t xml:space="preserve">module1_vus_public_pathogenic_direction</w:t>
            </w:r>
          </w:p>
        </w:tc>
        <w:tc>
          <w:tcPr>
            <w:tcW w:w="2400" w:type="dxa"/>
          </w:tcPr>
          <w:p>
            <w:r>
              <w:t xml:space="preserve">13</w:t>
            </w:r>
          </w:p>
        </w:tc>
      </w:tr>
      <w:tr>
        <w:tc>
          <w:tcPr>
            <w:tcW w:w="2400" w:type="dxa"/>
          </w:tcPr>
          <w:p>
            <w:r>
              <w:t xml:space="preserve">public_conflict</w:t>
            </w:r>
          </w:p>
        </w:tc>
        <w:tc>
          <w:tcPr>
            <w:tcW w:w="2400" w:type="dxa"/>
          </w:tcPr>
          <w:p>
            <w:r>
              <w:t xml:space="preserve">11</w:t>
            </w:r>
          </w:p>
        </w:tc>
      </w:tr>
      <w:tr>
        <w:tc>
          <w:tcPr>
            <w:tcW w:w="2400" w:type="dxa"/>
          </w:tcPr>
          <w:p>
            <w:r>
              <w:t xml:space="preserve">no_public_classification</w:t>
            </w:r>
          </w:p>
        </w:tc>
        <w:tc>
          <w:tcPr>
            <w:tcW w:w="2400" w:type="dxa"/>
          </w:tcPr>
          <w:p>
            <w:r>
              <w:t xml:space="preserve">8</w:t>
            </w:r>
          </w:p>
        </w:tc>
      </w:tr>
      <w:tr>
        <w:tc>
          <w:tcPr>
            <w:tcW w:w="2400" w:type="dxa"/>
          </w:tcPr>
          <w:p>
            <w:r>
              <w:t xml:space="preserve">module1_vus_public_benign_direction</w:t>
            </w:r>
          </w:p>
        </w:tc>
        <w:tc>
          <w:tcPr>
            <w:tcW w:w="2400" w:type="dxa"/>
          </w:tcPr>
          <w:p>
            <w:r>
              <w:t xml:space="preserve">7</w:t>
            </w:r>
          </w:p>
        </w:tc>
      </w:tr>
      <w:tr>
        <w:tc>
          <w:tcPr>
            <w:tcW w:w="2400" w:type="dxa"/>
          </w:tcPr>
          <w:p>
            <w:r>
              <w:t xml:space="preserve">other_or_unclear</w:t>
            </w:r>
          </w:p>
        </w:tc>
        <w:tc>
          <w:tcPr>
            <w:tcW w:w="2400" w:type="dxa"/>
          </w:tcPr>
          <w:p>
            <w:r>
              <w:t xml:space="preserve">1</w:t>
            </w:r>
          </w:p>
        </w:tc>
      </w:tr>
    </w:tbl>
    <w:p>
      <w:r>
        <w:t xml:space="preserve">no public assertion is a source category, while no_public_classification is a worklist label. These counts differ here because 7 variants had no ClinVar record, while one additional variant had a ClinVar record but aggregate classification not provided.</w:t>
      </w:r>
    </w:p>
    <w:p>
      <w:r>
        <w:t xml:space="preserve">ClinVar lookup succeeded for 73/80 variants and found no public record for 7/80. ClinGen Evidence Repository lookup found ClinGen/ENIGMA assertions for 2/80 variants and returned not found for 78/80.</w:t>
      </w:r>
    </w:p>
    <w:p>
      <w:r>
        <w:t xml:space="preserve">This low ClinGen ERepo hit rate is expected, because ClinGen ERepo contains only a small BRCA1/2 subset. A manual check of the public ClinGen ERepo BRCA1/2 table showed:</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gridCol w:w="2400"/>
        <w:gridCol w:w="2400"/>
        <w:gridCol w:w="2400"/>
        <w:gridCol w:w="2400"/>
      </w:tblGrid>
      <w:tr>
        <w:tc>
          <w:tcPr>
            <w:tcW w:w="2400" w:type="dxa"/>
            <w:shd w:fill="EDEDED"/>
          </w:tcPr>
          <w:p>
            <w:r>
              <w:t xml:space="preserve">Gene</w:t>
            </w:r>
          </w:p>
        </w:tc>
        <w:tc>
          <w:tcPr>
            <w:tcW w:w="2400" w:type="dxa"/>
            <w:shd w:fill="EDEDED"/>
          </w:tcPr>
          <w:p>
            <w:r>
              <w:t xml:space="preserve">Total ERepo records</w:t>
            </w:r>
          </w:p>
        </w:tc>
        <w:tc>
          <w:tcPr>
            <w:tcW w:w="2400" w:type="dxa"/>
            <w:shd w:fill="EDEDED"/>
          </w:tcPr>
          <w:p>
            <w:r>
              <w:t xml:space="preserve">Pathogenic</w:t>
            </w:r>
          </w:p>
        </w:tc>
        <w:tc>
          <w:tcPr>
            <w:tcW w:w="2400" w:type="dxa"/>
            <w:shd w:fill="EDEDED"/>
          </w:tcPr>
          <w:p>
            <w:r>
              <w:t xml:space="preserve">Likely pathogenic</w:t>
            </w:r>
          </w:p>
        </w:tc>
        <w:tc>
          <w:tcPr>
            <w:tcW w:w="2400" w:type="dxa"/>
            <w:shd w:fill="EDEDED"/>
          </w:tcPr>
          <w:p>
            <w:r>
              <w:t xml:space="preserve">VUS</w:t>
            </w:r>
          </w:p>
        </w:tc>
        <w:tc>
          <w:tcPr>
            <w:tcW w:w="2400" w:type="dxa"/>
            <w:shd w:fill="EDEDED"/>
          </w:tcPr>
          <w:p>
            <w:r>
              <w:t xml:space="preserve">Likely benign</w:t>
            </w:r>
          </w:p>
        </w:tc>
        <w:tc>
          <w:tcPr>
            <w:tcW w:w="2400" w:type="dxa"/>
            <w:shd w:fill="EDEDED"/>
          </w:tcPr>
          <w:p>
            <w:r>
              <w:t xml:space="preserve">Benign</w:t>
            </w:r>
          </w:p>
        </w:tc>
      </w:tr>
      <w:tr>
        <w:tc>
          <w:tcPr>
            <w:tcW w:w="2400" w:type="dxa"/>
          </w:tcPr>
          <w:p>
            <w:r>
              <w:t xml:space="preserve">BRCA1</w:t>
            </w:r>
          </w:p>
        </w:tc>
        <w:tc>
          <w:tcPr>
            <w:tcW w:w="2400" w:type="dxa"/>
          </w:tcPr>
          <w:p>
            <w:r>
              <w:t xml:space="preserve">75</w:t>
            </w:r>
          </w:p>
        </w:tc>
        <w:tc>
          <w:tcPr>
            <w:tcW w:w="2400" w:type="dxa"/>
          </w:tcPr>
          <w:p>
            <w:r>
              <w:t xml:space="preserve">9</w:t>
            </w:r>
          </w:p>
        </w:tc>
        <w:tc>
          <w:tcPr>
            <w:tcW w:w="2400" w:type="dxa"/>
          </w:tcPr>
          <w:p>
            <w:r>
              <w:t xml:space="preserve">1</w:t>
            </w:r>
          </w:p>
        </w:tc>
        <w:tc>
          <w:tcPr>
            <w:tcW w:w="2400" w:type="dxa"/>
          </w:tcPr>
          <w:p>
            <w:r>
              <w:t xml:space="preserve">16</w:t>
            </w:r>
          </w:p>
        </w:tc>
        <w:tc>
          <w:tcPr>
            <w:tcW w:w="2400" w:type="dxa"/>
          </w:tcPr>
          <w:p>
            <w:r>
              <w:t xml:space="preserve">33</w:t>
            </w:r>
          </w:p>
        </w:tc>
        <w:tc>
          <w:tcPr>
            <w:tcW w:w="2400" w:type="dxa"/>
          </w:tcPr>
          <w:p>
            <w:r>
              <w:t xml:space="preserve">16</w:t>
            </w:r>
          </w:p>
        </w:tc>
      </w:tr>
      <w:tr>
        <w:tc>
          <w:tcPr>
            <w:tcW w:w="2400" w:type="dxa"/>
          </w:tcPr>
          <w:p>
            <w:r>
              <w:t xml:space="preserve">BRCA2</w:t>
            </w:r>
          </w:p>
        </w:tc>
        <w:tc>
          <w:tcPr>
            <w:tcW w:w="2400" w:type="dxa"/>
          </w:tcPr>
          <w:p>
            <w:r>
              <w:t xml:space="preserve">68</w:t>
            </w:r>
          </w:p>
        </w:tc>
        <w:tc>
          <w:tcPr>
            <w:tcW w:w="2400" w:type="dxa"/>
          </w:tcPr>
          <w:p>
            <w:r>
              <w:t xml:space="preserve">12</w:t>
            </w:r>
          </w:p>
        </w:tc>
        <w:tc>
          <w:tcPr>
            <w:tcW w:w="2400" w:type="dxa"/>
          </w:tcPr>
          <w:p>
            <w:r>
              <w:t xml:space="preserve">6</w:t>
            </w:r>
          </w:p>
        </w:tc>
        <w:tc>
          <w:tcPr>
            <w:tcW w:w="2400" w:type="dxa"/>
          </w:tcPr>
          <w:p>
            <w:r>
              <w:t xml:space="preserve">14</w:t>
            </w:r>
          </w:p>
        </w:tc>
        <w:tc>
          <w:tcPr>
            <w:tcW w:w="2400" w:type="dxa"/>
          </w:tcPr>
          <w:p>
            <w:r>
              <w:t xml:space="preserve">26</w:t>
            </w:r>
          </w:p>
        </w:tc>
        <w:tc>
          <w:tcPr>
            <w:tcW w:w="2400" w:type="dxa"/>
          </w:tcPr>
          <w:p>
            <w:r>
              <w:t xml:space="preserve">10</w:t>
            </w:r>
          </w:p>
        </w:tc>
      </w:tr>
    </w:tbl>
    <w:p>
      <w:r>
        <w:t xml:space="preserve">ClinGen ERepo entry point: https://erepo.clinicalgenome.org/evrepo/</w:t>
      </w:r>
    </w:p>
    <w:p>
      <w:r>
        <w:t xml:space="preserve">Therefore, clingen_status=not_found means not found in this small ERepo subset. It does not mean that no public or ENIGMA-linked interpretation exists; many expert-panel assertions are available through ClinVar instead.</w:t>
      </w:r>
    </w:p>
    <w:p>
      <w:r>
        <w:t xml:space="preserve">This should be read as a review worklist. A public pathogenic-direction assertion for a Module 1 VUS does not mean ARIANE is wrong; it often means that the public submitter used evidence outside automated Module 1, such as case-control, segregation, functional/RNA data, multifactorial likelihood, or curated clinical review. Likewise, public benign-direction assertions should prompt inspection of population data, BS2/BS4, functional metadata, and submitter context.</w:t>
      </w:r>
    </w:p>
    <w:p>
      <w:pPr>
        <w:pStyle w:val="Heading3"/>
      </w:pPr>
      <w:r>
        <w:t xml:space="preserve">Does Positional Context Add Independent Information?</w:t>
      </w:r>
    </w:p>
    <w:p>
      <w:r>
        <w:t xml:space="preserve">The positional analyses answer one central question: does local pathogenic enrichment add information beyond the variant-level criteria already present in Module 1?</w:t>
      </w:r>
    </w:p>
    <w:p>
      <w:r>
        <w:t xml:space="preserve">The short answer is mostly no. Local context is useful for prioritization, visual triage, and mechanism review, but it should not be treated as an independent evidence criterion. After decomposing truncation, splice/PP3, and functional-evidence drivers, the apparent regional pathogenic signal is largely explained by variant-level criteria already present in the map.</w:t>
      </w:r>
    </w:p>
    <w:p>
      <w:r>
        <w:t xml:space="preserve">This is still useful. It tells the curator what kind of mechanism dominates near a VUS: truncation, splice, functional evidence, or a mixture. The result is a prompt for review, not a new source of ACMG/ENIGMA points.</w:t>
      </w:r>
    </w:p>
    <w:p>
      <w:pPr>
        <w:pStyle w:val="Heading3"/>
      </w:pPr>
      <w:r>
        <w:t xml:space="preserve">Pathogenic Neighborhood And Proximity</w:t>
      </w:r>
    </w:p>
    <w:p>
      <w:r>
        <w:t xml:space="preserve">The local coding sequence neighborhood around each VUS was compared with the generated benign and pathogenic groups:</w:t>
      </w:r>
    </w:p>
    <w:p>
      <w:pPr>
        <w:pStyle w:val="ListBullet"/>
        <w:ind w:left="720" w:hanging="360"/>
      </w:pPr>
      <w:r>
        <w:t xml:space="preserve">benign group: classes 1 and 2</w:t>
      </w:r>
    </w:p>
    <w:p>
      <w:pPr>
        <w:pStyle w:val="ListBullet"/>
        <w:ind w:left="720" w:hanging="360"/>
      </w:pPr>
      <w:r>
        <w:t xml:space="preserve">pathogenic group: classes 4 and 5</w:t>
      </w:r>
    </w:p>
    <w:p>
      <w:pPr>
        <w:pStyle w:val="ListBullet"/>
        <w:ind w:left="720" w:hanging="360"/>
      </w:pPr>
      <w:r>
        <w:t xml:space="preserve">VUS group: class 3</w:t>
      </w:r>
    </w:p>
    <w:p>
      <w:r>
        <w:t xml:space="preserve">For each VUS, the analysis computed:</w:t>
      </w:r>
    </w:p>
    <w:p>
      <w:pPr>
        <w:pStyle w:val="ListBullet"/>
        <w:ind w:left="720" w:hanging="360"/>
      </w:pPr>
      <w:r>
        <w:t xml:space="preserve">nearest generated pathogenic variant</w:t>
      </w:r>
    </w:p>
    <w:p>
      <w:pPr>
        <w:pStyle w:val="ListBullet"/>
        <w:ind w:left="720" w:hanging="360"/>
      </w:pPr>
      <w:r>
        <w:t xml:space="preserve">nearest generated benign variant</w:t>
      </w:r>
    </w:p>
    <w:p>
      <w:pPr>
        <w:pStyle w:val="ListBullet"/>
        <w:ind w:left="720" w:hanging="360"/>
      </w:pPr>
      <w:r>
        <w:t xml:space="preserve">counts of pathogenic and benign variants within +/-20, +/-50, and +/-100 bp</w:t>
      </w:r>
    </w:p>
    <w:p>
      <w:pPr>
        <w:pStyle w:val="ListBullet"/>
        <w:ind w:left="720" w:hanging="360"/>
      </w:pPr>
      <w:r>
        <w:t xml:space="preserve">whether the VUS lies in a pathogenic hotspot bin</w:t>
      </w:r>
    </w:p>
    <w:p>
      <w:r>
        <w:t xml:space="preserve">In this analysis, a broad pathogenic context means that at least one of the following is true: the VUS lies in a pathogenic hotspot bin; at least 5 class 4/5 variants occur within +/-20 coding bp; at least 10 class 4/5 variants occur within +/-50 coding bp; or at least 20 class 4/5 variants occur within +/-100 coding bp. A strong pathogenic region is stricter: pathogenic hotspot bin, or at least 10 class 4/5 variants within +/-20 coding bp with more pathogenic than benign neighbors, or at least 20 class 4/5 variants within +/-50 coding bp with at least 1.5x as many pathogenic as benign neighbors.</w:t>
      </w:r>
    </w:p>
    <w:p>
      <w:r>
        <w:t xml:space="preserve">The +/-50 bp component is retained in the numerical definition of strong pathogenic region, but the standalone +/-50 bp scatter plot was removed from the report to keep the visual interpretation focused on the stricter +/-20 bp local view.</w:t>
      </w:r>
    </w:p>
    <w:p>
      <w:r>
        <w:t xml:space="preserve">Results:</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Category</w:t>
            </w:r>
          </w:p>
        </w:tc>
        <w:tc>
          <w:tcPr>
            <w:tcW w:w="2400" w:type="dxa"/>
            <w:shd w:fill="EDEDED"/>
          </w:tcPr>
          <w:p>
            <w:r>
              <w:t xml:space="preserve">Count</w:t>
            </w:r>
          </w:p>
        </w:tc>
      </w:tr>
      <w:tr>
        <w:tc>
          <w:tcPr>
            <w:tcW w:w="2400" w:type="dxa"/>
          </w:tcPr>
          <w:p>
            <w:r>
              <w:t xml:space="preserve">closer_to_benign</w:t>
            </w:r>
          </w:p>
        </w:tc>
        <w:tc>
          <w:tcPr>
            <w:tcW w:w="2400" w:type="dxa"/>
          </w:tcPr>
          <w:p>
            <w:r>
              <w:t xml:space="preserve">3853</w:t>
            </w:r>
          </w:p>
        </w:tc>
      </w:tr>
      <w:tr>
        <w:tc>
          <w:tcPr>
            <w:tcW w:w="2400" w:type="dxa"/>
          </w:tcPr>
          <w:p>
            <w:r>
              <w:t xml:space="preserve">closer_to_pathogenic</w:t>
            </w:r>
          </w:p>
        </w:tc>
        <w:tc>
          <w:tcPr>
            <w:tcW w:w="2400" w:type="dxa"/>
          </w:tcPr>
          <w:p>
            <w:r>
              <w:t xml:space="preserve">3480</w:t>
            </w:r>
          </w:p>
        </w:tc>
      </w:tr>
      <w:tr>
        <w:tc>
          <w:tcPr>
            <w:tcW w:w="2400" w:type="dxa"/>
          </w:tcPr>
          <w:p>
            <w:r>
              <w:t xml:space="preserve">equal_distance</w:t>
            </w:r>
          </w:p>
        </w:tc>
        <w:tc>
          <w:tcPr>
            <w:tcW w:w="2400" w:type="dxa"/>
          </w:tcPr>
          <w:p>
            <w:r>
              <w:t xml:space="preserve">821</w:t>
            </w:r>
          </w:p>
        </w:tc>
      </w:tr>
      <w:tr>
        <w:tc>
          <w:tcPr>
            <w:tcW w:w="2400" w:type="dxa"/>
          </w:tcPr>
          <w:p>
            <w:r>
              <w:t xml:space="preserve">strong_pathogenic_region</w:t>
            </w:r>
          </w:p>
        </w:tc>
        <w:tc>
          <w:tcPr>
            <w:tcW w:w="2400" w:type="dxa"/>
          </w:tcPr>
          <w:p>
            <w:r>
              <w:t xml:space="preserve">2301</w:t>
            </w:r>
          </w:p>
        </w:tc>
      </w:tr>
      <w:tr>
        <w:tc>
          <w:tcPr>
            <w:tcW w:w="2400" w:type="dxa"/>
          </w:tcPr>
          <w:p>
            <w:r>
              <w:t xml:space="preserve">strong_pathogenic_region_and_closer_to_pathogenic</w:t>
            </w:r>
          </w:p>
        </w:tc>
        <w:tc>
          <w:tcPr>
            <w:tcW w:w="2400" w:type="dxa"/>
          </w:tcPr>
          <w:p>
            <w:r>
              <w:t xml:space="preserve">1451</w:t>
            </w:r>
          </w:p>
        </w:tc>
      </w:tr>
    </w:tbl>
    <w:p>
      <w:r>
        <w:t xml:space="preserve">The 1451 VUS in strong pathogenic regions and closer to pathogenic than benign variants form an important manual-review candidate group. This still does not imply pathogenicity; it identifies VUS located in locally pathogenic-looking generated landscapes.</w:t>
      </w:r>
    </w:p>
    <w:p>
      <w:r>
        <w:t xml:space="preserve">One visible cluster in the +/-20 bp neighborhood plot maps to BRCA1 c.5044-c.5143, approximately p.Glu1682-p.Ser1715, within the BRCT1 subdomain of the BRCA1 C-terminal BRCT region. This cluster is benign-enriched in the generated local-neighborhood plot, but it is not a benign region. The full generated SNV set in this short interval contains class 1/2, VUS, and class 4/5 variants. The pattern appears to be driven by a mixture of functional BRCT evidence (BS3/PS3), some local PP3/SpliceAI signal near a donor-like boundary around c.5074, and nearby nonsense substitutions with truncation-related criteria. This makes it a useful example of why local neighborhood context must be interpreted together with the exact variant consequence.</w:t>
      </w:r>
    </w:p>
    <w:p>
      <w:pPr>
        <w:pStyle w:val="Heading3"/>
      </w:pPr>
      <w:r>
        <w:t xml:space="preserve">What Positional Context Means</w:t>
      </w:r>
    </w:p>
    <w:p>
      <w:r>
        <w:t xml:space="preserve">The local-neighborhood analyses ask what positional context means in this precomputed automated-rule map. They do not ask whether position alone can classify a variant.</w:t>
      </w:r>
    </w:p>
    <w:p>
      <w:r>
        <w:t xml:space="preserve">A gene position is not the same as a variant. A single coding position can have several possible nucleotide substitutions. One substitution may be synonymous, another may be missense, another may create a premature termination codon, and another may alter a splice motif. Therefore, variants at the same position, or even in the same codon, can have different generated classes.</w:t>
      </w:r>
    </w:p>
    <w:p>
      <w:r>
        <w:t xml:space="preserve">This was confirmed by the position/codon conflict analysis. Many coding positions and codons contain different possible SNVs with different generated grouped classes. This is expected in part, because truncating, missense, synonymous, splice-affecting, and functionally annotated substitutions can activate different Module 1 criteria.</w:t>
      </w:r>
    </w:p>
    <w:p>
      <w:r>
        <w:t xml:space="preserve">The same principle applies to local neighborhoods. A region can be enriched for generated class 4/5 variants because it contains many truncating possibilities, splice-sensitive bases, known functional evidence, or curated residue/context signals. A nearby VUS does not inherit that evidence just because it is close. For the VUS itself, the exact nucleotide change, protein consequence, SpliceAI score, functional evidence, population-frequency evidence, and accepted ACMG/ENIGMA criteria still have to be evaluated.</w:t>
      </w:r>
    </w:p>
    <w:p>
      <w:r>
        <w:t xml:space="preserve">Therefore, local pathogenic enrichment should be used as:</w:t>
      </w:r>
    </w:p>
    <w:p>
      <w:pPr>
        <w:pStyle w:val="ListBullet"/>
        <w:ind w:left="720" w:hanging="360"/>
      </w:pPr>
      <w:r>
        <w:t xml:space="preserve">a review-priority signal</w:t>
      </w:r>
    </w:p>
    <w:p>
      <w:pPr>
        <w:pStyle w:val="ListBullet"/>
        <w:ind w:left="720" w:hanging="360"/>
      </w:pPr>
      <w:r>
        <w:t xml:space="preserve">a prompt to inspect mechanism and nearby counterexamples</w:t>
      </w:r>
    </w:p>
    <w:p>
      <w:pPr>
        <w:pStyle w:val="ListBullet"/>
        <w:ind w:left="720" w:hanging="360"/>
      </w:pPr>
      <w:r>
        <w:t xml:space="preserve">a way to find mixed regions where the automated rules behave differently across adjacent variants</w:t>
      </w:r>
    </w:p>
    <w:p>
      <w:r>
        <w:t xml:space="preserve">It should not be used as:</w:t>
      </w:r>
    </w:p>
    <w:p>
      <w:pPr>
        <w:pStyle w:val="ListBullet"/>
        <w:ind w:left="720" w:hanging="360"/>
      </w:pPr>
      <w:r>
        <w:t xml:space="preserve">a standalone pathogenicity prediction</w:t>
      </w:r>
    </w:p>
    <w:p>
      <w:pPr>
        <w:pStyle w:val="ListBullet"/>
        <w:ind w:left="720" w:hanging="360"/>
      </w:pPr>
      <w:r>
        <w:t xml:space="preserve">a replacement for PS1, PS3, PP3, PVS1, PM5_PTC, or any other criterion</w:t>
      </w:r>
    </w:p>
    <w:p>
      <w:pPr>
        <w:pStyle w:val="ListBullet"/>
        <w:ind w:left="720" w:hanging="360"/>
      </w:pPr>
      <w:r>
        <w:t xml:space="preserve">an ACMG/ENIGMA evidence item</w:t>
      </w:r>
    </w:p>
    <w:p>
      <w:pPr>
        <w:pStyle w:val="ListBullet"/>
        <w:ind w:left="720" w:hanging="360"/>
      </w:pPr>
      <w:r>
        <w:t xml:space="preserve">a reason to upgrade a VUS automatically</w:t>
      </w:r>
    </w:p>
    <w:p>
      <w:r>
        <w:t xml:space="preserve">In short: local pathogenic enrichment is a context signal, not an ACMG/ENIGMA evidence criterion.</w:t>
      </w:r>
    </w:p>
    <w:p>
      <w:pPr>
        <w:pStyle w:val="Heading3"/>
      </w:pPr>
      <w:r>
        <w:t xml:space="preserve">Regional Driver Decomposition</w:t>
      </w:r>
    </w:p>
    <w:p>
      <w:r>
        <w:t xml:space="preserve">To understand why some regions look pathogenic-enriched in the precomputed Module 1 map, we decomposed each 100 bp CDS bin into candidate drivers:</w:t>
      </w:r>
    </w:p>
    <w:p>
      <w:pPr>
        <w:pStyle w:val="ListBullet"/>
        <w:ind w:left="720" w:hanging="360"/>
      </w:pPr>
      <w:r>
        <w:t xml:space="preserve">truncation-related signal: nonsense variants, PVS1, or PM5_PTC</w:t>
      </w:r>
    </w:p>
    <w:p>
      <w:pPr>
        <w:pStyle w:val="ListBullet"/>
        <w:ind w:left="720" w:hanging="360"/>
      </w:pPr>
      <w:r>
        <w:t xml:space="preserve">splice-related signal: PP3 or SpliceAI &gt;= 0.20</w:t>
      </w:r>
    </w:p>
    <w:p>
      <w:pPr>
        <w:pStyle w:val="ListBullet"/>
        <w:ind w:left="720" w:hanging="360"/>
      </w:pPr>
      <w:r>
        <w:t xml:space="preserve">pathogenic functional signal: PS3 or PS1</w:t>
      </w:r>
    </w:p>
    <w:p>
      <w:pPr>
        <w:pStyle w:val="ListBullet"/>
        <w:ind w:left="720" w:hanging="360"/>
      </w:pPr>
      <w:r>
        <w:t xml:space="preserve">pathogenic multifactorial LR signal: PP4</w:t>
      </w:r>
    </w:p>
    <w:p>
      <w:pPr>
        <w:pStyle w:val="ListBullet"/>
        <w:ind w:left="720" w:hanging="360"/>
      </w:pPr>
      <w:r>
        <w:t xml:space="preserve">benign functional signal: BS3</w:t>
      </w:r>
    </w:p>
    <w:p>
      <w:pPr>
        <w:pStyle w:val="ListBullet"/>
        <w:ind w:left="720" w:hanging="360"/>
      </w:pPr>
      <w:r>
        <w:t xml:space="preserve">benign rule or multifactorial LR signal: BP1, BP4, BP5, BP7, BA1, or BS1</w:t>
      </w:r>
    </w:p>
    <w:p>
      <w:pPr>
        <w:pStyle w:val="ListBullet"/>
        <w:ind w:left="720" w:hanging="360"/>
      </w:pPr>
      <w:r>
        <w:t xml:space="preserve">low-information signal: no criterion or PM2_Supporting only</w:t>
      </w:r>
    </w:p>
    <w:p>
      <w:r>
        <w:t xml:space="preserve">The analysis then recalculated regional pathogenic fraction after excluding major driver classes. In the current 100 bp bin analysis, regional pathogenic fraction dropped strongly after excluding truncation drivers. After excluding truncation, splice, and functional-evidence drivers together, the residual pathogenic fraction was zero across the analyzed bins.</w:t>
      </w:r>
    </w:p>
    <w:p>
      <w:r>
        <w:t xml:space="preserve">This result should be interpreted as a structural sanity check of the rule system, not as an independent empirical discovery. In the current automated Module 1 map, class 4/5 outcomes are generated mainly by exactly these pathogenic driver classes. Once they are removed, PM2_Supporting remains too weak to generate a class 4/5 result by itself. The useful conclusion is therefore not that biology has no residual regional signal, but that this precomputed map should not be read as evidence for an independent positional criterion.</w:t>
      </w:r>
    </w:p>
    <w:p>
      <w:pPr>
        <w:pStyle w:val="Heading3"/>
      </w:pPr>
      <w:r>
        <w:t xml:space="preserve">Positional Context Follow-up</w:t>
      </w:r>
    </w:p>
    <w:p>
      <w:r>
        <w:t xml:space="preserve">We then tested the same interpretation from four additional angles:</w:t>
      </w:r>
    </w:p>
    <w:p>
      <w:pPr>
        <w:pStyle w:val="ListBullet"/>
        <w:ind w:left="720" w:hanging="360"/>
      </w:pPr>
      <w:r>
        <w:t xml:space="preserve">variant type</w:t>
      </w:r>
    </w:p>
    <w:p>
      <w:pPr>
        <w:pStyle w:val="ListBullet"/>
        <w:ind w:left="720" w:hanging="360"/>
      </w:pPr>
      <w:r>
        <w:t xml:space="preserve">splice-driver regional signal</w:t>
      </w:r>
    </w:p>
    <w:p>
      <w:pPr>
        <w:pStyle w:val="ListBullet"/>
        <w:ind w:left="720" w:hanging="360"/>
      </w:pPr>
      <w:r>
        <w:t xml:space="preserve">functional-evidence regional signal</w:t>
      </w:r>
    </w:p>
    <w:p>
      <w:pPr>
        <w:pStyle w:val="ListBullet"/>
        <w:ind w:left="720" w:hanging="360"/>
      </w:pPr>
      <w:r>
        <w:t xml:space="preserve">mixed position and codon behavior after removing major driver classes</w:t>
      </w:r>
    </w:p>
    <w:p>
      <w:r>
        <w:t xml:space="preserve">Variant type had a strong effect on the generated map. Nonsense/PTC variants were overwhelmingly classified as pathogenic in the automated snapshot, while missense and synonymous variants were mostly benign or VUS. This is expected, because the exact substitution determines whether a variant activates truncation-related, splice-related, functional, benign, or low-information criteria.</w:t>
      </w:r>
    </w:p>
    <w:p>
      <w:r>
        <w:t xml:space="preserve">The splice-driver analysis identified regional bins where local pathogenic fraction tracked PP3, high SpliceAI, or proximity to CDS exon boundaries. The functional-evidence analysis highlighted BRCA1 RING and BRCT regions, where PS3 and BS3 evidence both occur. These regions are biologically and curationally interesting, but the signal still comes from variant-level evidence rather than from coordinate alone.</w:t>
      </w:r>
    </w:p>
    <w:p>
      <w:r>
        <w:t xml:space="preserve">PP4 was handled as a separate multifactorial LR lookup signal, not as functional evidence.</w:t>
      </w:r>
    </w:p>
    <w:p>
      <w:r>
        <w:t xml:space="preserve">Finally, we repeated the mixed position/codon analysis after excluding major driver classes. In the full generated map, 1654 coding positions and 1737 codons contained both benign and pathogenic grouped classes. After excluding truncation, splice, and functional-evidence drivers together, this number fell to zero for both positions and codons. This is expected from the construction of the current rule set, because the excluded drivers are also the main ways a coding SNV becomes class 4/5 in this map. The analysis is still useful as a guardrail: it shows why position-level summaries must be decomposed back to the variant-level criteria that generated them.</w:t>
      </w:r>
    </w:p>
    <w:p>
      <w:pPr>
        <w:pStyle w:val="Heading3"/>
      </w:pPr>
      <w:r>
        <w:t xml:space="preserve">Protein Domain And Structure Context</w:t>
      </w:r>
    </w:p>
    <w:p>
      <w:r>
        <w:t xml:space="preserve">Variants were mapped to broad protein regions and UniProt-derived active/interface context. The main regions included:</w:t>
      </w:r>
    </w:p>
    <w:p>
      <w:pPr>
        <w:pStyle w:val="ListBullet"/>
        <w:ind w:left="720" w:hanging="360"/>
      </w:pPr>
      <w:r>
        <w:t xml:space="preserve">BRCA1 RING zinc-binding/E3 ligase region</w:t>
      </w:r>
    </w:p>
    <w:p>
      <w:pPr>
        <w:pStyle w:val="ListBullet"/>
        <w:ind w:left="720" w:hanging="360"/>
      </w:pPr>
      <w:r>
        <w:t xml:space="preserve">BRCA1 BRCT phosphopeptide-binding region</w:t>
      </w:r>
    </w:p>
    <w:p>
      <w:pPr>
        <w:pStyle w:val="ListBullet"/>
        <w:ind w:left="720" w:hanging="360"/>
      </w:pPr>
      <w:r>
        <w:t xml:space="preserve">BRCA2 DNA-binding domain / helical-OB-DSS1 region</w:t>
      </w:r>
    </w:p>
    <w:p>
      <w:pPr>
        <w:pStyle w:val="ListBullet"/>
        <w:ind w:left="720" w:hanging="360"/>
      </w:pPr>
      <w:r>
        <w:t xml:space="preserve">BRCA2 BRC repeats / RAD51-binding region</w:t>
      </w:r>
    </w:p>
    <w:p>
      <w:pPr>
        <w:pStyle w:val="ListBullet"/>
        <w:ind w:left="720" w:hanging="360"/>
      </w:pPr>
      <w:r>
        <w:t xml:space="preserve">BRCA2 C-terminal RAD51-binding/nuclear localization context</w:t>
      </w:r>
    </w:p>
    <w:p>
      <w:pPr>
        <w:pStyle w:val="ListBullet"/>
        <w:ind w:left="720" w:hanging="360"/>
      </w:pPr>
      <w:r>
        <w:t xml:space="preserve">PALB2 interaction regions</w:t>
      </w:r>
    </w:p>
    <w:p>
      <w:pPr>
        <w:pStyle w:val="ListBullet"/>
        <w:ind w:left="720" w:hanging="360"/>
      </w:pPr>
      <w:r>
        <w:t xml:space="preserve">SEM1/DSS1-related context</w:t>
      </w:r>
    </w:p>
    <w:p>
      <w:r>
        <w:t xml:space="preserve">This domain context was used only as interpretation and prioritization context. It was not treated as an ACMG/ENIGMA classification criterion.</w:t>
      </w:r>
    </w:p>
    <w:p>
      <w:pPr>
        <w:pStyle w:val="Heading3"/>
      </w:pPr>
      <w:r>
        <w:t xml:space="preserve">Benign Counterexamples</w:t>
      </w:r>
    </w:p>
    <w:p>
      <w:r>
        <w:t xml:space="preserve">To avoid over-interpreting protein domain location, benign and likely benign variants were mapped to the same domains and active/interface annotations.</w:t>
      </w:r>
    </w:p>
    <w:p>
      <w:r>
        <w:t xml:space="preserve">This identified benign counterexamples inside functionally important regions:</w:t>
      </w:r>
    </w:p>
    <w:p>
      <w:r>
        <w:t xml:space="preserve">The tiers mean:</w:t>
      </w:r>
    </w:p>
    <w:p>
      <w:pPr>
        <w:pStyle w:val="ListBullet"/>
        <w:ind w:left="720" w:hanging="360"/>
      </w:pPr>
      <w:r>
        <w:t xml:space="preserve">A_exact_or_known_residue_context: benign variant overlaps a source-extracted functional annotation or a known pathogenic-residue context.</w:t>
      </w:r>
    </w:p>
    <w:p>
      <w:pPr>
        <w:pStyle w:val="ListBullet"/>
        <w:ind w:left="720" w:hanging="360"/>
      </w:pPr>
      <w:r>
        <w:t xml:space="preserve">B_pathogenic_enriched_domain: benign variant lies in a domain with a much higher pathogenic than benign rate after group normalization.</w:t>
      </w:r>
    </w:p>
    <w:p>
      <w:pPr>
        <w:pStyle w:val="ListBullet"/>
        <w:ind w:left="720" w:hanging="360"/>
      </w:pPr>
      <w:r>
        <w:t xml:space="preserve">C_region_level_interface_context: benign variant lies in a UniProt region-level interaction annotation.</w:t>
      </w:r>
    </w:p>
    <w:p>
      <w:pPr>
        <w:pStyle w:val="ListBullet"/>
        <w:ind w:left="720" w:hanging="360"/>
      </w:pPr>
      <w:r>
        <w:t xml:space="preserve">D_broad_domain_context: benign variant lies in a broad important domain.</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Counterexample Tier</w:t>
            </w:r>
          </w:p>
        </w:tc>
        <w:tc>
          <w:tcPr>
            <w:tcW w:w="2400" w:type="dxa"/>
            <w:shd w:fill="EDEDED"/>
          </w:tcPr>
          <w:p>
            <w:r>
              <w:t xml:space="preserve">Count</w:t>
            </w:r>
          </w:p>
        </w:tc>
      </w:tr>
      <w:tr>
        <w:tc>
          <w:tcPr>
            <w:tcW w:w="2400" w:type="dxa"/>
          </w:tcPr>
          <w:p>
            <w:r>
              <w:t xml:space="preserve">C_region_level_interface_context</w:t>
            </w:r>
          </w:p>
        </w:tc>
        <w:tc>
          <w:tcPr>
            <w:tcW w:w="2400" w:type="dxa"/>
          </w:tcPr>
          <w:p>
            <w:r>
              <w:t xml:space="preserve">15199</w:t>
            </w:r>
          </w:p>
        </w:tc>
      </w:tr>
      <w:tr>
        <w:tc>
          <w:tcPr>
            <w:tcW w:w="2400" w:type="dxa"/>
          </w:tcPr>
          <w:p>
            <w:r>
              <w:t xml:space="preserve">D_broad_domain_context</w:t>
            </w:r>
          </w:p>
        </w:tc>
        <w:tc>
          <w:tcPr>
            <w:tcW w:w="2400" w:type="dxa"/>
          </w:tcPr>
          <w:p>
            <w:r>
              <w:t xml:space="preserve">2267</w:t>
            </w:r>
          </w:p>
        </w:tc>
      </w:tr>
      <w:tr>
        <w:tc>
          <w:tcPr>
            <w:tcW w:w="2400" w:type="dxa"/>
          </w:tcPr>
          <w:p>
            <w:r>
              <w:t xml:space="preserve">B_pathogenic_enriched_domain</w:t>
            </w:r>
          </w:p>
        </w:tc>
        <w:tc>
          <w:tcPr>
            <w:tcW w:w="2400" w:type="dxa"/>
          </w:tcPr>
          <w:p>
            <w:r>
              <w:t xml:space="preserve">283</w:t>
            </w:r>
          </w:p>
        </w:tc>
      </w:tr>
      <w:tr>
        <w:tc>
          <w:tcPr>
            <w:tcW w:w="2400" w:type="dxa"/>
          </w:tcPr>
          <w:p>
            <w:r>
              <w:t xml:space="preserve">A_exact_or_known_residue_context</w:t>
            </w:r>
          </w:p>
        </w:tc>
        <w:tc>
          <w:tcPr>
            <w:tcW w:w="2400" w:type="dxa"/>
          </w:tcPr>
          <w:p>
            <w:r>
              <w:t xml:space="preserve">206</w:t>
            </w:r>
          </w:p>
        </w:tc>
      </w:tr>
    </w:tbl>
    <w:p>
      <w:r>
        <w:t xml:space="preserve">This demonstrates that domain or interface context cannot be used as evidence by itself. It is useful only when combined with variant mechanism, local neighborhood, criteria, and residue-level evidence.</w:t>
      </w:r>
    </w:p>
    <w:p>
      <w:pPr>
        <w:pStyle w:val="Heading3"/>
      </w:pPr>
      <w:r>
        <w:t xml:space="preserve">BS3 And Functional Benign Evidence In Domains</w:t>
      </w:r>
    </w:p>
    <w:p>
      <w:r>
        <w:t xml:space="preserve">Because many benign variants inside important domains were driven by BS3, we analyzed BS3 separately.</w:t>
      </w:r>
    </w:p>
    <w:p>
      <w:r>
        <w:t xml:space="preserve">Results:</w:t>
      </w:r>
    </w:p>
    <w:p>
      <w:pPr>
        <w:pStyle w:val="ListBullet"/>
        <w:ind w:left="720" w:hanging="360"/>
      </w:pPr>
      <w:r>
        <w:t xml:space="preserve">benign domain/interface variants analyzed: 17955</w:t>
      </w:r>
    </w:p>
    <w:p>
      <w:pPr>
        <w:pStyle w:val="ListBullet"/>
        <w:ind w:left="720" w:hanging="360"/>
      </w:pPr>
      <w:r>
        <w:t xml:space="preserve">with BS3: 2017</w:t>
      </w:r>
    </w:p>
    <w:p>
      <w:pPr>
        <w:pStyle w:val="ListBullet"/>
        <w:ind w:left="720" w:hanging="360"/>
      </w:pPr>
      <w:r>
        <w:t xml:space="preserve">with BS3 plus PP3 or SpliceAI &gt;= 0.20: 126</w:t>
      </w:r>
    </w:p>
    <w:p>
      <w:r>
        <w:t xml:space="preserve">BS3 by region:</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gridCol w:w="2400"/>
      </w:tblGrid>
      <w:tr>
        <w:tc>
          <w:tcPr>
            <w:tcW w:w="2400" w:type="dxa"/>
            <w:shd w:fill="EDEDED"/>
          </w:tcPr>
          <w:p>
            <w:r>
              <w:t xml:space="preserve">Region</w:t>
            </w:r>
          </w:p>
        </w:tc>
        <w:tc>
          <w:tcPr>
            <w:tcW w:w="2400" w:type="dxa"/>
            <w:shd w:fill="EDEDED"/>
          </w:tcPr>
          <w:p>
            <w:r>
              <w:t xml:space="preserve">Benign domain count</w:t>
            </w:r>
          </w:p>
        </w:tc>
        <w:tc>
          <w:tcPr>
            <w:tcW w:w="2400" w:type="dxa"/>
            <w:shd w:fill="EDEDED"/>
          </w:tcPr>
          <w:p>
            <w:r>
              <w:t xml:space="preserve">BS3 count</w:t>
            </w:r>
          </w:p>
        </w:tc>
        <w:tc>
          <w:tcPr>
            <w:tcW w:w="2400" w:type="dxa"/>
            <w:shd w:fill="EDEDED"/>
          </w:tcPr>
          <w:p>
            <w:r>
              <w:t xml:space="preserve">BS3 percent</w:t>
            </w:r>
          </w:p>
        </w:tc>
      </w:tr>
      <w:tr>
        <w:tc>
          <w:tcPr>
            <w:tcW w:w="2400" w:type="dxa"/>
          </w:tcPr>
          <w:p>
            <w:r>
              <w:t xml:space="preserve">BRCT phosphopeptide-binding region</w:t>
            </w:r>
          </w:p>
        </w:tc>
        <w:tc>
          <w:tcPr>
            <w:tcW w:w="2400" w:type="dxa"/>
          </w:tcPr>
          <w:p>
            <w:r>
              <w:t xml:space="preserve">1178</w:t>
            </w:r>
          </w:p>
        </w:tc>
        <w:tc>
          <w:tcPr>
            <w:tcW w:w="2400" w:type="dxa"/>
          </w:tcPr>
          <w:p>
            <w:r>
              <w:t xml:space="preserve">1174</w:t>
            </w:r>
          </w:p>
        </w:tc>
        <w:tc>
          <w:tcPr>
            <w:tcW w:w="2400" w:type="dxa"/>
          </w:tcPr>
          <w:p>
            <w:r>
              <w:t xml:space="preserve">99.66</w:t>
            </w:r>
          </w:p>
        </w:tc>
      </w:tr>
      <w:tr>
        <w:tc>
          <w:tcPr>
            <w:tcW w:w="2400" w:type="dxa"/>
          </w:tcPr>
          <w:p>
            <w:r>
              <w:t xml:space="preserve">RING zinc-binding/E3 ligase region</w:t>
            </w:r>
          </w:p>
        </w:tc>
        <w:tc>
          <w:tcPr>
            <w:tcW w:w="2400" w:type="dxa"/>
          </w:tcPr>
          <w:p>
            <w:r>
              <w:t xml:space="preserve">576</w:t>
            </w:r>
          </w:p>
        </w:tc>
        <w:tc>
          <w:tcPr>
            <w:tcW w:w="2400" w:type="dxa"/>
          </w:tcPr>
          <w:p>
            <w:r>
              <w:t xml:space="preserve">571</w:t>
            </w:r>
          </w:p>
        </w:tc>
        <w:tc>
          <w:tcPr>
            <w:tcW w:w="2400" w:type="dxa"/>
          </w:tcPr>
          <w:p>
            <w:r>
              <w:t xml:space="preserve">99.13</w:t>
            </w:r>
          </w:p>
        </w:tc>
      </w:tr>
      <w:tr>
        <w:tc>
          <w:tcPr>
            <w:tcW w:w="2400" w:type="dxa"/>
          </w:tcPr>
          <w:p>
            <w:r>
              <w:t xml:space="preserve">BRCA2 DBD / helical-OB-DSS1 region</w:t>
            </w:r>
          </w:p>
        </w:tc>
        <w:tc>
          <w:tcPr>
            <w:tcW w:w="2400" w:type="dxa"/>
          </w:tcPr>
          <w:p>
            <w:r>
              <w:t xml:space="preserve">256</w:t>
            </w:r>
          </w:p>
        </w:tc>
        <w:tc>
          <w:tcPr>
            <w:tcW w:w="2400" w:type="dxa"/>
          </w:tcPr>
          <w:p>
            <w:r>
              <w:t xml:space="preserve">127</w:t>
            </w:r>
          </w:p>
        </w:tc>
        <w:tc>
          <w:tcPr>
            <w:tcW w:w="2400" w:type="dxa"/>
          </w:tcPr>
          <w:p>
            <w:r>
              <w:t xml:space="preserve">49.61</w:t>
            </w:r>
          </w:p>
        </w:tc>
      </w:tr>
      <w:tr>
        <w:tc>
          <w:tcPr>
            <w:tcW w:w="2400" w:type="dxa"/>
          </w:tcPr>
          <w:p>
            <w:r>
              <w:t xml:space="preserve">BRC repeats / RAD51-binding region</w:t>
            </w:r>
          </w:p>
        </w:tc>
        <w:tc>
          <w:tcPr>
            <w:tcW w:w="2400" w:type="dxa"/>
          </w:tcPr>
          <w:p>
            <w:r>
              <w:t xml:space="preserve">9242</w:t>
            </w:r>
          </w:p>
        </w:tc>
        <w:tc>
          <w:tcPr>
            <w:tcW w:w="2400" w:type="dxa"/>
          </w:tcPr>
          <w:p>
            <w:r>
              <w:t xml:space="preserve">32</w:t>
            </w:r>
          </w:p>
        </w:tc>
        <w:tc>
          <w:tcPr>
            <w:tcW w:w="2400" w:type="dxa"/>
          </w:tcPr>
          <w:p>
            <w:r>
              <w:t xml:space="preserve">0.35</w:t>
            </w:r>
          </w:p>
        </w:tc>
      </w:tr>
    </w:tbl>
    <w:p>
      <w:r>
        <w:t xml:space="preserve">This regional table is not exhaustive. The four displayed regions account for 1904 of the 2017 benign/domain-interface variants with BS3; the remaining 113 BS3 variants occur in other annotated contexts. The very high BS3 proportion in BRCA1 BRCT and RING also means that domain context in these regions is partly a proxy for availability of dense functional assay evidence, not an independent domain effect.</w:t>
      </w:r>
    </w:p>
    <w:p>
      <w:r>
        <w:t xml:space="preserve">To check whether this was merely broad domain-level mapping, we audited BRCA1 BS3 records from local ENIGMA Table 9 against downloaded external source files. The sources were Findlay et al. 2018 Nature Supplementary Table 1 containing BRCA1 saturation genome editing scores, the corresponding Supplementary Information, and a Dace &amp; Findlay 2023 interim update cited by ENIGMA Table 9. The Dace/Findlay interim update is treated here as a Table 9 source citation, not as an independently verified standalone publication. The audit found that 1861/1865 BRCA1 BRCT-region BS3 records and 868/871 BRCA1 N-terminal RING-region BS3 records matched variant-level rows in the Findlay 2018 SGE table. This supports interpreting the BRCA1 RING/BRCT BS3 signal as variant-level functional assay evidence from a dense source dataset, not as a simple domain rule.</w:t>
      </w:r>
    </w:p>
    <w:p>
      <w:r>
        <w:t xml:space="preserve">The audit also found 24 N-terminal RING-region BS3 records that have LOF functional class in the original Findlay 2018 table. In local ENIGMA Table 9, these records cite an interim Dace &amp; Findlay 2023 update describing updated benign-like interpretation. Therefore, these are not automatically application errors, but they should remain visible as source-version-dependent evidence items requiring manual traceability. The intermediate source was not independently verified here as a standalone publication.</w:t>
      </w:r>
    </w:p>
    <w:p>
      <w:r>
        <w:t xml:space="preserve">BS3 variants by mechanism:</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Mechanism</w:t>
            </w:r>
          </w:p>
        </w:tc>
        <w:tc>
          <w:tcPr>
            <w:tcW w:w="2400" w:type="dxa"/>
            <w:shd w:fill="EDEDED"/>
          </w:tcPr>
          <w:p>
            <w:r>
              <w:t xml:space="preserve">Count</w:t>
            </w:r>
          </w:p>
        </w:tc>
      </w:tr>
      <w:tr>
        <w:tc>
          <w:tcPr>
            <w:tcW w:w="2400" w:type="dxa"/>
          </w:tcPr>
          <w:p>
            <w:r>
              <w:t xml:space="preserve">missense</w:t>
            </w:r>
          </w:p>
        </w:tc>
        <w:tc>
          <w:tcPr>
            <w:tcW w:w="2400" w:type="dxa"/>
          </w:tcPr>
          <w:p>
            <w:r>
              <w:t xml:space="preserve">1530</w:t>
            </w:r>
          </w:p>
        </w:tc>
      </w:tr>
      <w:tr>
        <w:tc>
          <w:tcPr>
            <w:tcW w:w="2400" w:type="dxa"/>
          </w:tcPr>
          <w:p>
            <w:r>
              <w:t xml:space="preserve">synonymous</w:t>
            </w:r>
          </w:p>
        </w:tc>
        <w:tc>
          <w:tcPr>
            <w:tcW w:w="2400" w:type="dxa"/>
          </w:tcPr>
          <w:p>
            <w:r>
              <w:t xml:space="preserve">487</w:t>
            </w:r>
          </w:p>
        </w:tc>
      </w:tr>
    </w:tbl>
    <w:p>
      <w:r>
        <w:t xml:space="preserve">This analysis highlighted a small but important review group: variants with BS3+PP3 and high SpliceAI. These are not automatically errors. They are cases where assay metadata matters: the curator needs to know whether the functional assay measured the relevant protein effect, splicing, NMD, or another mechanism.</w:t>
      </w:r>
    </w:p>
    <w:p>
      <w:pPr>
        <w:pStyle w:val="Heading2"/>
      </w:pPr>
      <w:r>
        <w:t xml:space="preserve">Candidate Review Groups</w:t>
      </w:r>
    </w:p>
    <w:p>
      <w:r>
        <w:t xml:space="preserve">The analyses suggest several candidate groups for manual review.</w:t>
      </w:r>
    </w:p>
    <w:p>
      <w:pPr>
        <w:pStyle w:val="Heading3"/>
      </w:pPr>
      <w:r>
        <w:t xml:space="preserve">Group 1: Strong Pathogenic Evidence One Step Short</w:t>
      </w:r>
    </w:p>
    <w:p>
      <w:r>
        <w:t xml:space="preserve">These VUS often contain PS3, PP3, or another pathogenic-direction signal but do not satisfy the exact ENIGMA combination needed for likely pathogenic. Similarly, a variant can carry PVS1 and still remain VUS if the applicable PVS1 strength or the full ENIGMA combination table does not meet a likely pathogenic combination without additional supporting evidence.</w:t>
      </w:r>
    </w:p>
    <w:p>
      <w:r>
        <w:t xml:space="preserve">Typical next evidence to look for:</w:t>
      </w:r>
    </w:p>
    <w:p>
      <w:pPr>
        <w:pStyle w:val="ListBullet"/>
        <w:ind w:left="720" w:hanging="360"/>
      </w:pPr>
      <w:r>
        <w:t xml:space="preserve">RNA confirmation</w:t>
      </w:r>
    </w:p>
    <w:p>
      <w:pPr>
        <w:pStyle w:val="ListBullet"/>
        <w:ind w:left="720" w:hanging="360"/>
      </w:pPr>
      <w:r>
        <w:t xml:space="preserve">accepted functional evidence</w:t>
      </w:r>
    </w:p>
    <w:p>
      <w:pPr>
        <w:pStyle w:val="ListBullet"/>
        <w:ind w:left="720" w:hanging="360"/>
      </w:pPr>
      <w:r>
        <w:t xml:space="preserve">PS1</w:t>
      </w:r>
    </w:p>
    <w:p>
      <w:pPr>
        <w:pStyle w:val="ListBullet"/>
        <w:ind w:left="720" w:hanging="360"/>
      </w:pPr>
      <w:r>
        <w:t xml:space="preserve">PP1</w:t>
      </w:r>
    </w:p>
    <w:p>
      <w:pPr>
        <w:pStyle w:val="ListBullet"/>
        <w:ind w:left="720" w:hanging="360"/>
      </w:pPr>
      <w:r>
        <w:t xml:space="preserve">PM3</w:t>
      </w:r>
    </w:p>
    <w:p>
      <w:pPr>
        <w:pStyle w:val="ListBullet"/>
        <w:ind w:left="720" w:hanging="360"/>
      </w:pPr>
      <w:r>
        <w:t xml:space="preserve">PS4</w:t>
      </w:r>
    </w:p>
    <w:p>
      <w:pPr>
        <w:pStyle w:val="ListBullet"/>
        <w:ind w:left="720" w:hanging="360"/>
      </w:pPr>
      <w:r>
        <w:t xml:space="preserve">PP4</w:t>
      </w:r>
    </w:p>
    <w:p>
      <w:pPr>
        <w:pStyle w:val="ListBullet"/>
        <w:ind w:left="720" w:hanging="360"/>
      </w:pPr>
      <w:r>
        <w:t xml:space="preserve">curated external evidence</w:t>
      </w:r>
    </w:p>
    <w:p>
      <w:pPr>
        <w:pStyle w:val="Heading3"/>
      </w:pPr>
      <w:r>
        <w:t xml:space="preserve">Group 2: VUS In Strong Pathogenic Regions</w:t>
      </w:r>
    </w:p>
    <w:p>
      <w:r>
        <w:t xml:space="preserve">These VUS are in generated regions where class 4/5 variants outnumber benign variants locally, or where the nearest generated pathogenic variant is closer than the nearest generated benign variant.</w:t>
      </w:r>
    </w:p>
    <w:p>
      <w:r>
        <w:t xml:space="preserve">Useful review questions:</w:t>
      </w:r>
    </w:p>
    <w:p>
      <w:pPr>
        <w:pStyle w:val="ListBullet"/>
        <w:ind w:left="720" w:hanging="360"/>
      </w:pPr>
      <w:r>
        <w:t xml:space="preserve">Is the local signal driven by splice effects?</w:t>
      </w:r>
    </w:p>
    <w:p>
      <w:pPr>
        <w:pStyle w:val="ListBullet"/>
        <w:ind w:left="720" w:hanging="360"/>
      </w:pPr>
      <w:r>
        <w:t xml:space="preserve">Is the VUS near an exon boundary?</w:t>
      </w:r>
    </w:p>
    <w:p>
      <w:pPr>
        <w:pStyle w:val="ListBullet"/>
        <w:ind w:left="720" w:hanging="360"/>
      </w:pPr>
      <w:r>
        <w:t xml:space="preserve">Does the VUS have high SpliceAI?</w:t>
      </w:r>
    </w:p>
    <w:p>
      <w:pPr>
        <w:pStyle w:val="ListBullet"/>
        <w:ind w:left="720" w:hanging="360"/>
      </w:pPr>
      <w:r>
        <w:t xml:space="preserve">Does the same codon or residue have curated pathogenic substitutions?</w:t>
      </w:r>
    </w:p>
    <w:p>
      <w:pPr>
        <w:pStyle w:val="ListBullet"/>
        <w:ind w:left="720" w:hanging="360"/>
      </w:pPr>
      <w:r>
        <w:t xml:space="preserve">Are there benign counterexamples nearby?</w:t>
      </w:r>
    </w:p>
    <w:p>
      <w:pPr>
        <w:pStyle w:val="Heading3"/>
      </w:pPr>
      <w:r>
        <w:t xml:space="preserve">Group 3: Functional-Domain VUS With Supporting Evidence</w:t>
      </w:r>
    </w:p>
    <w:p>
      <w:r>
        <w:t xml:space="preserve">Domain or interface context can help prioritize VUS, especially when combined with other signals.</w:t>
      </w:r>
    </w:p>
    <w:p>
      <w:r>
        <w:t xml:space="preserve">However, domain context is not evidence by itself. Benign counterexamples in RING, BRCT, BRCA2 DBD, PALB2, RAD51/BRC, and SEM1/DSS1 contexts show why domain membership must be interpreted cautiously.</w:t>
      </w:r>
    </w:p>
    <w:p>
      <w:pPr>
        <w:pStyle w:val="Heading3"/>
      </w:pPr>
      <w:r>
        <w:t xml:space="preserve">Group 4: BS3 Conflict Cases</w:t>
      </w:r>
    </w:p>
    <w:p>
      <w:r>
        <w:t xml:space="preserve">Variants with BS3 plus PP3 or high SpliceAI should be reviewed as evidence-adjudication cases.</w:t>
      </w:r>
    </w:p>
    <w:p>
      <w:r>
        <w:t xml:space="preserve">Useful review questions:</w:t>
      </w:r>
    </w:p>
    <w:p>
      <w:pPr>
        <w:pStyle w:val="ListBullet"/>
        <w:ind w:left="720" w:hanging="360"/>
      </w:pPr>
      <w:r>
        <w:t xml:space="preserve">What did the BS3 assay measure?</w:t>
      </w:r>
    </w:p>
    <w:p>
      <w:pPr>
        <w:pStyle w:val="ListBullet"/>
        <w:ind w:left="720" w:hanging="360"/>
      </w:pPr>
      <w:r>
        <w:t xml:space="preserve">Does the assay detect splicing?</w:t>
      </w:r>
    </w:p>
    <w:p>
      <w:pPr>
        <w:pStyle w:val="ListBullet"/>
        <w:ind w:left="720" w:hanging="360"/>
      </w:pPr>
      <w:r>
        <w:t xml:space="preserve">Does the assay detect NMD?</w:t>
      </w:r>
    </w:p>
    <w:p>
      <w:pPr>
        <w:pStyle w:val="ListBullet"/>
        <w:ind w:left="720" w:hanging="360"/>
      </w:pPr>
      <w:r>
        <w:t xml:space="preserve">Is the PP3 signal transcript-relevant?</w:t>
      </w:r>
    </w:p>
    <w:p>
      <w:pPr>
        <w:pStyle w:val="ListBullet"/>
        <w:ind w:left="720" w:hanging="360"/>
      </w:pPr>
      <w:r>
        <w:t xml:space="preserve">Is the apparent conflict protein-based, RNA-based, or rule-based?</w:t>
      </w:r>
    </w:p>
    <w:p>
      <w:pPr>
        <w:pStyle w:val="Heading3"/>
      </w:pPr>
      <w:r>
        <w:t xml:space="preserve">Group 5: Low-Information PM2-Only VUS</w:t>
      </w:r>
    </w:p>
    <w:p>
      <w:r>
        <w:t xml:space="preserve">The largest group is PM2_only. These variants are not good first-pass review candidates unless additional evidence is available. Population absence as PM2_Supporting is an independent supporting pathogenic criterion, but it is not sufficient by itself.</w:t>
      </w:r>
    </w:p>
    <w:p>
      <w:pPr>
        <w:pStyle w:val="Heading2"/>
      </w:pPr>
      <w:r>
        <w:t xml:space="preserve">Proposed Figure Plan</w:t>
      </w:r>
    </w:p>
    <w:p>
      <w:r>
        <w:t xml:space="preserve">For a reader-facing manuscript, the main figures should emphasize synthesis rather than every exploratory diagnostic plot. Conceptual and decision-facing figures should stay in the main text. Dense diagnostic tracks and exploratory scatter plots can move to a supplement unless they are accompanied by a clear take-home message.</w:t>
      </w:r>
    </w:p>
    <w:p>
      <w:pPr>
        <w:pStyle w:val="Heading3"/>
      </w:pPr>
      <w:r>
        <w:t xml:space="preserve">How To Read The Main Graphs</w:t>
      </w:r>
    </w:p>
    <w:p>
      <w:r>
        <w:t xml:space="preserve">The figures in this report summarize behavior of the generated ARIANE Module 1 map. They should be read as explanations of rule output, not as independent clinical reference evidence.</w:t>
      </w:r>
    </w:p>
    <w:p>
      <w:r>
        <w:t xml:space="preserve">In bar charts, the bar length is the number or fraction of generated variants in the stated category. Colors group related classes or driver types; they do not add evidence by themselves.</w:t>
      </w:r>
    </w:p>
    <w:p>
      <w:r>
        <w:t xml:space="preserve">In local-neighborhood scatter plots, each dot is one VUS. The VUS itself is the center of the window. The x-axis counts generated benign/likely benign class 1/2 variants around that VUS. The y-axis counts generated likely pathogenic/pathogenic class 4/5 variants around the same VUS. A dot further to the right has more benign neighbors; a dot higher up has more pathogenic neighbors. Red dots are pathogenic-neighbor enriched, green dots are benign-neighbor enriched, grey dots have equal counts, and a black outline marks a strong context flag. This is a review-context signal only.</w:t>
      </w:r>
    </w:p>
    <w:p>
      <w:r>
        <w:t xml:space="preserve">In regional driver plots, the x-axis follows coding-sequence position or 100 bp CDS bins. Driver colors indicate which variant-level rule families explain the local signal, such as truncation, splice/PP3, or functional evidence. These plots are meant to decompose the source of enrichment, not to define new region-level ACMG/ENIGMA criteria.</w:t>
      </w:r>
    </w:p>
    <w:p>
      <w:r>
        <w:t xml:space="preserve">In ablation plots, rows or bars show what remains after removing one or more driver classes. If a signal disappears after removing a driver, this means the signal was generated by that rule family in the current map. It should not be read as an independent biological validation.</w:t>
      </w:r>
    </w:p>
    <w:p>
      <w:pPr>
        <w:pStyle w:val="Heading3"/>
      </w:pPr>
      <w:r>
        <w:t xml:space="preserve">Figure 1: VUS Prioritization Overview</w:t>
      </w:r>
    </w:p>
    <w:p>
      <w:r>
        <w:t xml:space="preserve">Suggested source files:</w:t>
      </w:r>
    </w:p>
    <w:p>
      <w:pPr>
        <w:pStyle w:val="ListBullet"/>
        <w:ind w:left="720" w:hanging="360"/>
      </w:pPr>
      <w:r>
        <w:t xml:space="preserve">plots/08_vus_prioritization/vus_priority_score_histogram.svg</w:t>
      </w:r>
    </w:p>
    <w:p>
      <w:pPr>
        <w:pStyle w:val="ListBullet"/>
        <w:ind w:left="720" w:hanging="360"/>
      </w:pPr>
      <w:r>
        <w:t xml:space="preserve">plots/08_vus_prioritization/vus_priority_reason_counts.svg</w:t>
      </w:r>
    </w:p>
    <w:p>
      <w:pPr>
        <w:pStyle w:val="ListBullet"/>
        <w:ind w:left="720" w:hanging="360"/>
      </w:pPr>
      <w:r>
        <w:t xml:space="preserve">plots/08_vus_prioritization/vus_priority_exon_barplot.svg</w:t>
      </w:r>
    </w:p>
    <w:p>
      <w:pPr>
        <w:pStyle w:val="ListBullet"/>
        <w:ind w:left="720" w:hanging="360"/>
      </w:pPr>
      <w:r>
        <w:t xml:space="preserve">plots/27_vus_manuscript_critique_response/neighborhood_increment_summary.svg</w:t>
      </w:r>
    </w:p>
    <w:p>
      <w:pPr>
        <w:pStyle w:val="ListBullet"/>
        <w:ind w:left="720" w:hanging="360"/>
      </w:pPr>
      <w:r>
        <w:t xml:space="preserve">plots/27_vus_manuscript_critique_response/tier_transition_without_neighborhood.svg</w:t>
      </w:r>
    </w:p>
    <w:p>
      <w:r>
        <w:t xml:space="preserve">Message: VUS can be grouped into practical review tiers, with a small high-priority subset. The neighborhood sensitivity panels show how much of the high-priority queue depends on local context rather than variant-level criteria alone.</w:t>
      </w:r>
    </w:p>
    <w:p>
      <w:pPr>
        <w:pStyle w:val="Heading3"/>
      </w:pPr>
      <w:r>
        <w:t xml:space="preserve">Figure 2: VUS Pathogenic Neighborhoods</w:t>
      </w:r>
    </w:p>
    <w:p>
      <w:r>
        <w:t xml:space="preserve">Suggested source files:</w:t>
      </w:r>
    </w:p>
    <w:p>
      <w:pPr>
        <w:pStyle w:val="ListBullet"/>
        <w:ind w:left="720" w:hanging="360"/>
      </w:pPr>
      <w:r>
        <w:t xml:space="preserve">plots/18_vus_pathogenic_regions/vus_pathogenic_region_summary.svg</w:t>
      </w:r>
    </w:p>
    <w:p>
      <w:pPr>
        <w:pStyle w:val="ListBullet"/>
        <w:ind w:left="720" w:hanging="360"/>
      </w:pPr>
      <w:r>
        <w:t xml:space="preserve">plots/18_vus_pathogenic_regions/vus_pathogenic_vs_benign_neighborhood_20bp.svg</w:t>
      </w:r>
    </w:p>
    <w:p>
      <w:pPr>
        <w:pStyle w:val="ListBullet"/>
        <w:ind w:left="720" w:hanging="360"/>
      </w:pPr>
      <w:r>
        <w:t xml:space="preserve">plots/23_brca1_brct1_mixed_cluster/brca1_brct1_mixed_cluster_class_profile.svg</w:t>
      </w:r>
    </w:p>
    <w:p>
      <w:r>
        <w:t xml:space="preserve">Message: some VUS lie in generated neighborhoods that are more pathogenic than benign, but this is a prioritization signal only. The +/-20 bp view is the strict local view used for the main visual interpretation. In this scatter plot, each point is one VUS. The x-axis is not genomic position; it is the number of generated benign/likely benign class 1/2 variants within the window around that VUS. The y-axis is the number of generated likely pathogenic/pathogenic class 4/5 variants in the same window. Thus +/-20 bp means the VUS is centered in a 40 bp coding window: 20 coding bases upstream and 20 coding bases downstream.</w:t>
      </w:r>
    </w:p>
    <w:p>
      <w:pPr>
        <w:pStyle w:val="Heading3"/>
      </w:pPr>
      <w:r>
        <w:t xml:space="preserve">Figure 3: Position Is Not Variant</w:t>
      </w:r>
    </w:p>
    <w:p>
      <w:r>
        <w:t xml:space="preserve">Suggested source file:</w:t>
      </w:r>
    </w:p>
    <w:p>
      <w:pPr>
        <w:pStyle w:val="ListBullet"/>
        <w:ind w:left="720" w:hanging="360"/>
      </w:pPr>
      <w:r>
        <w:t xml:space="preserve">plots/24_position_context_concept/position_is_not_variant_context_is_not_evidence.svg</w:t>
      </w:r>
    </w:p>
    <w:p>
      <w:r>
        <w:t xml:space="preserve">Message: local pathogenic enrichment is a context signal, not an ACMG/ENIGMA evidence criterion. The figure summarizes four ideas: one position can produce different variant consequences, one codon can contain mixed generated classes, the local window around a VUS is useful for review prioritization, and the BRCA1 BRCT1 cluster is an example of a mixed local context.</w:t>
      </w:r>
    </w:p>
    <w:p>
      <w:pPr>
        <w:pStyle w:val="Heading3"/>
      </w:pPr>
      <w:r>
        <w:t xml:space="preserve">Figure 4: What Drives Regional Pathogenic Enrichment?</w:t>
      </w:r>
    </w:p>
    <w:p>
      <w:r>
        <w:t xml:space="preserve">Suggested source files:</w:t>
      </w:r>
    </w:p>
    <w:p>
      <w:pPr>
        <w:pStyle w:val="ListBullet"/>
        <w:ind w:left="720" w:hanging="360"/>
      </w:pPr>
      <w:r>
        <w:t xml:space="preserve">plots/25_regional_driver_decomposition/regional_signal_categories.svg</w:t>
      </w:r>
    </w:p>
    <w:p>
      <w:pPr>
        <w:pStyle w:val="ListBullet"/>
        <w:ind w:left="720" w:hanging="360"/>
      </w:pPr>
      <w:r>
        <w:t xml:space="preserve">plots/25_regional_driver_decomposition/pathogenic_fraction_driver_ablation.svg</w:t>
      </w:r>
    </w:p>
    <w:p>
      <w:pPr>
        <w:pStyle w:val="ListBullet"/>
        <w:ind w:left="720" w:hanging="360"/>
      </w:pPr>
      <w:r>
        <w:t xml:space="preserve">plots/25_regional_driver_decomposition/brca1_regional_driver_tracks.svg</w:t>
      </w:r>
    </w:p>
    <w:p>
      <w:pPr>
        <w:pStyle w:val="ListBullet"/>
        <w:ind w:left="720" w:hanging="360"/>
      </w:pPr>
      <w:r>
        <w:t xml:space="preserve">plots/25_regional_driver_decomposition/brca2_regional_driver_tracks.svg</w:t>
      </w:r>
    </w:p>
    <w:p>
      <w:r>
        <w:t xml:space="preserve">Message: pathogenic-enriched regions in the precomputed Module 1 map are mostly explained by variant-level drivers: truncation-related criteria, splice/PP3 signal, and functional evidence. After excluding truncation, splice, and functional-evidence drivers together, the residual regional pathogenic fraction is zero in the current 100 bp bin analysis. This should be presented as a rule-system sanity check, not as an unexpected biological result.</w:t>
      </w:r>
    </w:p>
    <w:p>
      <w:pPr>
        <w:pStyle w:val="Heading3"/>
      </w:pPr>
      <w:r>
        <w:t xml:space="preserve">Figure 5: Positional Context Follow-up</w:t>
      </w:r>
    </w:p>
    <w:p>
      <w:r>
        <w:t xml:space="preserve">Suggested source files:</w:t>
      </w:r>
    </w:p>
    <w:p>
      <w:pPr>
        <w:pStyle w:val="ListBullet"/>
        <w:ind w:left="720" w:hanging="360"/>
      </w:pPr>
      <w:r>
        <w:t xml:space="preserve">plots/26_positional_context_followup/variant_type_grouped_class_stacked.svg</w:t>
      </w:r>
    </w:p>
    <w:p>
      <w:pPr>
        <w:pStyle w:val="ListBullet"/>
        <w:ind w:left="720" w:hanging="360"/>
      </w:pPr>
      <w:r>
        <w:t xml:space="preserve">plots/26_positional_context_followup/splice_driver_vs_pathogenic_fraction.svg</w:t>
      </w:r>
    </w:p>
    <w:p>
      <w:pPr>
        <w:pStyle w:val="ListBullet"/>
        <w:ind w:left="720" w:hanging="360"/>
      </w:pPr>
      <w:r>
        <w:t xml:space="preserve">plots/26_positional_context_followup/functional_driver_vs_pathogenic_fraction.svg</w:t>
      </w:r>
    </w:p>
    <w:p>
      <w:pPr>
        <w:pStyle w:val="ListBullet"/>
        <w:ind w:left="720" w:hanging="360"/>
      </w:pPr>
      <w:r>
        <w:t xml:space="preserve">plots/26_positional_context_followup/mixed_position_codon_driver_ablation.svg</w:t>
      </w:r>
    </w:p>
    <w:p>
      <w:r>
        <w:t xml:space="preserve">Message: local context patterns are mostly explained by specific variant-level drivers. Nonsense/PTC variants explain much of the pathogenic signal, splice bins identify PP3/SpliceAI-driven regions, functional bins identify regions with PS3/BS3 evidence, and mixed position/codon contexts disappear after excluding truncation, splice, and functional-evidence drivers together. Because these drivers are the main route to class 4/5 in the current map, this is a structural check rather than independent validation.</w:t>
      </w:r>
    </w:p>
    <w:p>
      <w:pPr>
        <w:pStyle w:val="Heading3"/>
      </w:pPr>
      <w:r>
        <w:t xml:space="preserve">Figure 6: Decision Bottlenecks</w:t>
      </w:r>
    </w:p>
    <w:p>
      <w:r>
        <w:t xml:space="preserve">Suggested source files:</w:t>
      </w:r>
    </w:p>
    <w:p>
      <w:pPr>
        <w:pStyle w:val="ListBullet"/>
        <w:ind w:left="720" w:hanging="360"/>
      </w:pPr>
      <w:r>
        <w:t xml:space="preserve">plots/12_vus_bottleneck/vus_bottleneck_categories.svg</w:t>
      </w:r>
    </w:p>
    <w:p>
      <w:pPr>
        <w:pStyle w:val="ListBullet"/>
        <w:ind w:left="720" w:hanging="360"/>
      </w:pPr>
      <w:r>
        <w:t xml:space="preserve">plots/12_vus_bottleneck/vus_bottleneck_combinations.svg</w:t>
      </w:r>
    </w:p>
    <w:p>
      <w:r>
        <w:t xml:space="preserve">Message: most VUS are low-information or one-evidence-item-short rather than clear contradictory cases.</w:t>
      </w:r>
    </w:p>
    <w:p>
      <w:pPr>
        <w:pStyle w:val="Heading3"/>
      </w:pPr>
      <w:r>
        <w:t xml:space="preserve">Figure 7: Domain Context And Benign Counterexamples</w:t>
      </w:r>
    </w:p>
    <w:p>
      <w:r>
        <w:t xml:space="preserve">Suggested source files:</w:t>
      </w:r>
    </w:p>
    <w:p>
      <w:pPr>
        <w:pStyle w:val="ListBullet"/>
        <w:ind w:left="720" w:hanging="360"/>
      </w:pPr>
      <w:r>
        <w:t xml:space="preserve">plots/19_benign_structure_function/benign_vs_pathogenic_feature_comparison.svg</w:t>
      </w:r>
    </w:p>
    <w:p>
      <w:pPr>
        <w:pStyle w:val="ListBullet"/>
        <w:ind w:left="720" w:hanging="360"/>
      </w:pPr>
      <w:r>
        <w:t xml:space="preserve">plots/20_benign_counterexamples/tier_summary.svg</w:t>
      </w:r>
    </w:p>
    <w:p>
      <w:pPr>
        <w:pStyle w:val="ListBullet"/>
        <w:ind w:left="720" w:hanging="360"/>
      </w:pPr>
      <w:r>
        <w:t xml:space="preserve">plots/21_bs3_domain_conflicts/domain_mechanism_stacked.svg</w:t>
      </w:r>
    </w:p>
    <w:p>
      <w:r>
        <w:t xml:space="preserve">Message: structural context helps prioritize, but benign counterexamples and BS3 evidence prevent simple domain-based interpretation.</w:t>
      </w:r>
    </w:p>
    <w:p>
      <w:pPr>
        <w:pStyle w:val="Heading3"/>
      </w:pPr>
      <w:r>
        <w:t xml:space="preserve">Figure 8: External Context And Evidence Worklist</w:t>
      </w:r>
    </w:p>
    <w:p>
      <w:r>
        <w:t xml:space="preserve">Suggested source files:</w:t>
      </w:r>
    </w:p>
    <w:p>
      <w:pPr>
        <w:pStyle w:val="ListBullet"/>
        <w:ind w:left="720" w:hanging="360"/>
      </w:pPr>
      <w:r>
        <w:t xml:space="preserve">plots/28_findlay_sge_vus_tier/findlay_sge_score_by_priority_tier.svg</w:t>
      </w:r>
    </w:p>
    <w:p>
      <w:pPr>
        <w:pStyle w:val="ListBullet"/>
        <w:ind w:left="720" w:hanging="360"/>
      </w:pPr>
      <w:r>
        <w:t xml:space="preserve">plots/29_vus_evidence_action_plan/vus_evidence_action_groups.svg</w:t>
      </w:r>
    </w:p>
    <w:p>
      <w:r>
        <w:t xml:space="preserve">Message: the VUS queue can be checked against an external functional axis where available and translated into practical next-evidence groups. Findlay SGE is useful for BRCA1 RING/BRCT, while the evidence action-plan figure separates low-information variants from groups where RNA, functional, segregation, case-control, trans, or public assertion review is likely to be more informative.</w:t>
      </w:r>
    </w:p>
    <w:p>
      <w:pPr>
        <w:pStyle w:val="Heading3"/>
      </w:pPr>
      <w:r>
        <w:t xml:space="preserve">Figure 9: Overlapping Priority Queues</w:t>
      </w:r>
    </w:p>
    <w:p>
      <w:r>
        <w:t xml:space="preserve">Suggested source files:</w:t>
      </w:r>
    </w:p>
    <w:p>
      <w:pPr>
        <w:pStyle w:val="ListBullet"/>
        <w:ind w:left="720" w:hanging="360"/>
      </w:pPr>
      <w:r>
        <w:t xml:space="preserve">plots/30_priority_queue_synthesis/priority_queue_counts.svg</w:t>
      </w:r>
    </w:p>
    <w:p>
      <w:pPr>
        <w:pStyle w:val="ListBullet"/>
        <w:ind w:left="720" w:hanging="360"/>
      </w:pPr>
      <w:r>
        <w:t xml:space="preserve">plots/30_priority_queue_synthesis/priority_queue_overlap.svg</w:t>
      </w:r>
    </w:p>
    <w:p>
      <w:r>
        <w:t xml:space="preserve">Message: VUS prioritization is not a single ranking problem. A VUS can be in a splice/RNA queue, a near-threshold queue, a public-assertion queue, a conflict queue, or several of these at once. The overlap plot should be used to explain why the review question must be explicit before selecting a candidate list.</w:t>
      </w:r>
    </w:p>
    <w:p>
      <w:pPr>
        <w:pStyle w:val="Heading3"/>
      </w:pPr>
      <w:r>
        <w:t xml:space="preserve">Figure 10: Gene-Normalized Comparisons</w:t>
      </w:r>
    </w:p>
    <w:p>
      <w:r>
        <w:t xml:space="preserve">Suggested source files:</w:t>
      </w:r>
    </w:p>
    <w:p>
      <w:pPr>
        <w:pStyle w:val="ListBullet"/>
        <w:ind w:left="720" w:hanging="360"/>
      </w:pPr>
      <w:r>
        <w:t xml:space="preserve">plots/01_overview/gene_normalized_grouped_class_distribution_heatmap.svg</w:t>
      </w:r>
    </w:p>
    <w:p>
      <w:pPr>
        <w:pStyle w:val="ListBullet"/>
        <w:ind w:left="720" w:hanging="360"/>
      </w:pPr>
      <w:r>
        <w:t xml:space="preserve">plots/01_overview/gene_normalized_criteria_rate_heatmap.svg</w:t>
      </w:r>
    </w:p>
    <w:p>
      <w:pPr>
        <w:pStyle w:val="ListBullet"/>
        <w:ind w:left="720" w:hanging="360"/>
      </w:pPr>
      <w:r>
        <w:t xml:space="preserve">plots/31_cross_gene_normalized/gene_normalized_grouped_class_per_1000.svg</w:t>
      </w:r>
    </w:p>
    <w:p>
      <w:pPr>
        <w:pStyle w:val="ListBullet"/>
        <w:ind w:left="720" w:hanging="360"/>
      </w:pPr>
      <w:r>
        <w:t xml:space="preserve">plots/31_cross_gene_normalized/gene_normalized_priority_queues_per_1000_vus.svg</w:t>
      </w:r>
    </w:p>
    <w:p>
      <w:pPr>
        <w:pStyle w:val="ListBullet"/>
        <w:ind w:left="720" w:hanging="360"/>
      </w:pPr>
      <w:r>
        <w:t xml:space="preserve">plots/31_cross_gene_normalized/gene_normalized_evidence_action_groups_per_1000_vus.svg</w:t>
      </w:r>
    </w:p>
    <w:p>
      <w:r>
        <w:t xml:space="preserve">Message: BRCA1 and BRCA2 should not be compared by raw combined counts alone. BRCA2 contributes more generated coding SNVs and many more VUS, while BRCA1 has a much higher rate of near-threshold and functional-evidence queue membership among VUS. These differences are part of the generated Module 1 map and may reflect gene structure, evidence availability, and rule implementation.</w:t>
      </w:r>
    </w:p>
    <w:p>
      <w:pPr>
        <w:pStyle w:val="Heading3"/>
      </w:pPr>
      <w:r>
        <w:t xml:space="preserve">Figure 11: Gene-Specific SpliceAI And Boundary Context</w:t>
      </w:r>
    </w:p>
    <w:p>
      <w:r>
        <w:t xml:space="preserve">Suggested source files:</w:t>
      </w:r>
    </w:p>
    <w:p>
      <w:pPr>
        <w:pStyle w:val="ListBullet"/>
        <w:ind w:left="720" w:hanging="360"/>
      </w:pPr>
      <w:r>
        <w:t xml:space="preserve">plots/03_boundary_spliceai/brca1_boundary_spliceai_binned_heatmap.svg</w:t>
      </w:r>
    </w:p>
    <w:p>
      <w:pPr>
        <w:pStyle w:val="ListBullet"/>
        <w:ind w:left="720" w:hanging="360"/>
      </w:pPr>
      <w:r>
        <w:t xml:space="preserve">plots/03_boundary_spliceai/brca2_boundary_spliceai_binned_heatmap.svg</w:t>
      </w:r>
    </w:p>
    <w:p>
      <w:pPr>
        <w:pStyle w:val="ListBullet"/>
        <w:ind w:left="720" w:hanging="360"/>
      </w:pPr>
      <w:r>
        <w:t xml:space="preserve">plots/03_boundary_spliceai/gene_normalized_spliceai_high_rate_by_boundary_group_heatmap.svg</w:t>
      </w:r>
    </w:p>
    <w:p>
      <w:pPr>
        <w:pStyle w:val="ListBullet"/>
        <w:ind w:left="720" w:hanging="360"/>
      </w:pPr>
      <w:r>
        <w:t xml:space="preserve">plots/03_boundary_spliceai/gene_normalized_boundary_distribution_by_group_heatmap.svg</w:t>
      </w:r>
    </w:p>
    <w:p>
      <w:r>
        <w:t xml:space="preserve">Message: SpliceAI and exon-boundary context should be read separately for BRCA1 and BRCA2, not only as a combined scatter. The primary visualization is a binned heatmap: boundary-distance bins on the x-axis, SpliceAI score bins on the y-axis, and separate panels for generated benign, VUS, and pathogenic groups. Each tile shows the percent of variants within that generated class group. This makes the enrichment pattern readable without overplotting. The normalized heatmaps then compare BRCA1 and BRCA2 using within-gene and within-group rates. This avoids mistaking the larger BRCA2 VUS count for a directly comparable biological signal.</w:t>
      </w:r>
    </w:p>
    <w:p>
      <w:pPr>
        <w:pStyle w:val="Heading2"/>
      </w:pPr>
      <w:r>
        <w:t xml:space="preserve">Worked Variant Examples</w:t>
      </w:r>
    </w:p>
    <w:p>
      <w:r>
        <w:t xml:space="preserve">The table below illustrates how the framework is intended to guide manual review. These examples are not reclassifications; they show what a curator would open next and why.</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gridCol w:w="2400"/>
        <w:gridCol w:w="2400"/>
      </w:tblGrid>
      <w:tr>
        <w:tc>
          <w:tcPr>
            <w:tcW w:w="2400" w:type="dxa"/>
            <w:shd w:fill="EDEDED"/>
          </w:tcPr>
          <w:p>
            <w:r>
              <w:t xml:space="preserve">Example group</w:t>
            </w:r>
          </w:p>
        </w:tc>
        <w:tc>
          <w:tcPr>
            <w:tcW w:w="2400" w:type="dxa"/>
            <w:shd w:fill="EDEDED"/>
          </w:tcPr>
          <w:p>
            <w:r>
              <w:t xml:space="preserve">Variant</w:t>
            </w:r>
          </w:p>
        </w:tc>
        <w:tc>
          <w:tcPr>
            <w:tcW w:w="2400" w:type="dxa"/>
            <w:shd w:fill="EDEDED"/>
          </w:tcPr>
          <w:p>
            <w:r>
              <w:t xml:space="preserve">Why it is prioritized</w:t>
            </w:r>
          </w:p>
        </w:tc>
        <w:tc>
          <w:tcPr>
            <w:tcW w:w="2400" w:type="dxa"/>
            <w:shd w:fill="EDEDED"/>
          </w:tcPr>
          <w:p>
            <w:r>
              <w:t xml:space="preserve">What the curator would open</w:t>
            </w:r>
          </w:p>
        </w:tc>
        <w:tc>
          <w:tcPr>
            <w:tcW w:w="2400" w:type="dxa"/>
            <w:shd w:fill="EDEDED"/>
          </w:tcPr>
          <w:p>
            <w:r>
              <w:t xml:space="preserve">Missing or clarifying evidence</w:t>
            </w:r>
          </w:p>
        </w:tc>
      </w:tr>
      <w:tr>
        <w:tc>
          <w:tcPr>
            <w:tcW w:w="2400" w:type="dxa"/>
          </w:tcPr>
          <w:p>
            <w:r>
              <w:t xml:space="preserve">High SpliceAI near boundary</w:t>
            </w:r>
          </w:p>
        </w:tc>
        <w:tc>
          <w:tcPr>
            <w:tcW w:w="2400" w:type="dxa"/>
          </w:tcPr>
          <w:p>
            <w:r>
              <w:t xml:space="preserve">BRCA2 c.1909G&gt;T p.(Gly637Cys)</w:t>
            </w:r>
          </w:p>
        </w:tc>
        <w:tc>
          <w:tcPr>
            <w:tcW w:w="2400" w:type="dxa"/>
          </w:tcPr>
          <w:p>
            <w:r>
              <w:t xml:space="preserve">SpliceAI 0.970, within 2 bp boundary, PP3, dense local context</w:t>
            </w:r>
          </w:p>
        </w:tc>
        <w:tc>
          <w:tcPr>
            <w:tcW w:w="2400" w:type="dxa"/>
          </w:tcPr>
          <w:p>
            <w:r>
              <w:t xml:space="preserve">transcript-specific splice prediction, RNA evidence, exon boundary context, public assertions</w:t>
            </w:r>
          </w:p>
        </w:tc>
        <w:tc>
          <w:tcPr>
            <w:tcW w:w="2400" w:type="dxa"/>
          </w:tcPr>
          <w:p>
            <w:r>
              <w:t xml:space="preserve">RNA/splicing evidence or other accepted non-computational support</w:t>
            </w:r>
          </w:p>
        </w:tc>
      </w:tr>
      <w:tr>
        <w:tc>
          <w:tcPr>
            <w:tcW w:w="2400" w:type="dxa"/>
          </w:tcPr>
          <w:p>
            <w:r>
              <w:t xml:space="preserve">PS3+PM2 one-step-short</w:t>
            </w:r>
          </w:p>
        </w:tc>
        <w:tc>
          <w:tcPr>
            <w:tcW w:w="2400" w:type="dxa"/>
          </w:tcPr>
          <w:p>
            <w:r>
              <w:t xml:space="preserve">BRCA1 c.190T&gt;G p.(Cys64Gly)</w:t>
            </w:r>
          </w:p>
        </w:tc>
        <w:tc>
          <w:tcPr>
            <w:tcW w:w="2400" w:type="dxa"/>
          </w:tcPr>
          <w:p>
            <w:r>
              <w:t xml:space="preserve">PS3+PP3, Findlay LOF, public pathogenic-direction context, near pathogenic threshold</w:t>
            </w:r>
          </w:p>
        </w:tc>
        <w:tc>
          <w:tcPr>
            <w:tcW w:w="2400" w:type="dxa"/>
          </w:tcPr>
          <w:p>
            <w:r>
              <w:t xml:space="preserve">functional evidence trace, public ClinVar/submitter evidence, PS4/PP1/PM3/RNA availability</w:t>
            </w:r>
          </w:p>
        </w:tc>
        <w:tc>
          <w:tcPr>
            <w:tcW w:w="2400" w:type="dxa"/>
          </w:tcPr>
          <w:p>
            <w:r>
              <w:t xml:space="preserve">one independent pathogenic evidence item or curated assertion support</w:t>
            </w:r>
          </w:p>
        </w:tc>
      </w:tr>
      <w:tr>
        <w:tc>
          <w:tcPr>
            <w:tcW w:w="2400" w:type="dxa"/>
          </w:tcPr>
          <w:p>
            <w:r>
              <w:t xml:space="preserve">Benign/pathogenic evidence conflict</w:t>
            </w:r>
          </w:p>
        </w:tc>
        <w:tc>
          <w:tcPr>
            <w:tcW w:w="2400" w:type="dxa"/>
          </w:tcPr>
          <w:p>
            <w:r>
              <w:t xml:space="preserve">BRCA1 c.5044G&gt;A p.(Glu1682Lys)</w:t>
            </w:r>
          </w:p>
        </w:tc>
        <w:tc>
          <w:tcPr>
            <w:tcW w:w="2400" w:type="dxa"/>
          </w:tcPr>
          <w:p>
            <w:r>
              <w:t xml:space="preserve">BP5+PM2_Supporting+PP3+PS3, high SpliceAI, ClinVar expert-panel benign assertion</w:t>
            </w:r>
          </w:p>
        </w:tc>
        <w:tc>
          <w:tcPr>
            <w:tcW w:w="2400" w:type="dxa"/>
          </w:tcPr>
          <w:p>
            <w:r>
              <w:t xml:space="preserve">multifactorial LR source, functional assay metadata, splice relevance, submitter assertions</w:t>
            </w:r>
          </w:p>
        </w:tc>
        <w:tc>
          <w:tcPr>
            <w:tcW w:w="2400" w:type="dxa"/>
          </w:tcPr>
          <w:p>
            <w:r>
              <w:t xml:space="preserve">manual adjudication of mixed benign and pathogenic evidence</w:t>
            </w:r>
          </w:p>
        </w:tc>
      </w:tr>
      <w:tr>
        <w:tc>
          <w:tcPr>
            <w:tcW w:w="2400" w:type="dxa"/>
          </w:tcPr>
          <w:p>
            <w:r>
              <w:t xml:space="preserve">Neighborhood-driven context</w:t>
            </w:r>
          </w:p>
        </w:tc>
        <w:tc>
          <w:tcPr>
            <w:tcW w:w="2400" w:type="dxa"/>
          </w:tcPr>
          <w:p>
            <w:r>
              <w:t xml:space="preserve">BRCA1 c.5014C&gt;G p.(His1672Asp)</w:t>
            </w:r>
          </w:p>
        </w:tc>
        <w:tc>
          <w:tcPr>
            <w:tcW w:w="2400" w:type="dxa"/>
          </w:tcPr>
          <w:p>
            <w:r>
              <w:t xml:space="preserve">near pathogenic dense region, but only PM2_Supporting and low score</w:t>
            </w:r>
          </w:p>
        </w:tc>
        <w:tc>
          <w:tcPr>
            <w:tcW w:w="2400" w:type="dxa"/>
          </w:tcPr>
          <w:p>
            <w:r>
              <w:t xml:space="preserve">nearby variant mechanisms, whether local context is driven by truncation/splice/functional evidence</w:t>
            </w:r>
          </w:p>
        </w:tc>
        <w:tc>
          <w:tcPr>
            <w:tcW w:w="2400" w:type="dxa"/>
          </w:tcPr>
          <w:p>
            <w:r>
              <w:t xml:space="preserve">true variant-level evidence; local context alone should not add points</w:t>
            </w:r>
          </w:p>
        </w:tc>
      </w:tr>
      <w:tr>
        <w:tc>
          <w:tcPr>
            <w:tcW w:w="2400" w:type="dxa"/>
          </w:tcPr>
          <w:p>
            <w:r>
              <w:t xml:space="preserve">Low-information PM2-only</w:t>
            </w:r>
          </w:p>
        </w:tc>
        <w:tc>
          <w:tcPr>
            <w:tcW w:w="2400" w:type="dxa"/>
          </w:tcPr>
          <w:p>
            <w:r>
              <w:t xml:space="preserve">BRCA1 c.2642A&gt;T p.(Glu881Val)</w:t>
            </w:r>
          </w:p>
        </w:tc>
        <w:tc>
          <w:tcPr>
            <w:tcW w:w="2400" w:type="dxa"/>
          </w:tcPr>
          <w:p>
            <w:r>
              <w:t xml:space="preserve">PM2_Supporting only, tier4 low priority</w:t>
            </w:r>
          </w:p>
        </w:tc>
        <w:tc>
          <w:tcPr>
            <w:tcW w:w="2400" w:type="dxa"/>
          </w:tcPr>
          <w:p>
            <w:r>
              <w:t xml:space="preserve">public assertions, literature, local lab observations if available</w:t>
            </w:r>
          </w:p>
        </w:tc>
        <w:tc>
          <w:tcPr>
            <w:tcW w:w="2400" w:type="dxa"/>
          </w:tcPr>
          <w:p>
            <w:r>
              <w:t xml:space="preserve">any independent evidence; otherwise low first-pass review yield</w:t>
            </w:r>
          </w:p>
        </w:tc>
      </w:tr>
    </w:tbl>
    <w:p>
      <w:pPr>
        <w:pStyle w:val="Heading2"/>
      </w:pPr>
      <w:r>
        <w:t xml:space="preserve">Practical Curation Workflow</w:t>
      </w:r>
    </w:p>
    <w:p>
      <w:pPr>
        <w:pStyle w:val="ListNumber"/>
        <w:ind w:left="720" w:hanging="360"/>
      </w:pPr>
      <w:r>
        <w:t xml:space="preserve">Start with tier1_urgent and tier2_high VUS, but also pull the near-pathogenic-threshold group even when it sits in tier3. This especially applies to PM2_Supporting+PS3 variants: the Findlay SGE analysis shows that many are functionally LOF and one evidence item short.</w:t>
      </w:r>
    </w:p>
    <w:p>
      <w:pPr>
        <w:pStyle w:val="ListNumber"/>
        <w:ind w:left="720" w:hanging="360"/>
      </w:pPr>
      <w:r>
        <w:t xml:space="preserve">Check whether the VUS belongs to a clear bottleneck category.</w:t>
      </w:r>
    </w:p>
    <w:p>
      <w:pPr>
        <w:pStyle w:val="ListNumber"/>
        <w:ind w:left="720" w:hanging="360"/>
      </w:pPr>
      <w:r>
        <w:t xml:space="preserve">Separate "high review priority" from "close to likely pathogenic"; these are related, but the PS3-driven tier3 group shows that they are not identical.</w:t>
      </w:r>
    </w:p>
    <w:p>
      <w:pPr>
        <w:pStyle w:val="ListNumber"/>
        <w:ind w:left="720" w:hanging="360"/>
      </w:pPr>
      <w:r>
        <w:t xml:space="preserve">If splice signal is present, verify transcript relevance and boundary context.</w:t>
      </w:r>
    </w:p>
    <w:p>
      <w:pPr>
        <w:pStyle w:val="ListNumber"/>
        <w:ind w:left="720" w:hanging="360"/>
      </w:pPr>
      <w:r>
        <w:t xml:space="preserve">If the VUS lies in a pathogenic region, inspect nearby benign and pathogenic variants.</w:t>
      </w:r>
    </w:p>
    <w:p>
      <w:pPr>
        <w:pStyle w:val="ListNumber"/>
        <w:ind w:left="720" w:hanging="360"/>
      </w:pPr>
      <w:r>
        <w:t xml:space="preserve">If the VUS lies in RING, BRCT, BRCA2 DBD, PALB2, RAD51/BRC, or SEM1/DSS1 context, inspect benign counterexamples and residue-level annotations.</w:t>
      </w:r>
    </w:p>
    <w:p>
      <w:pPr>
        <w:pStyle w:val="ListNumber"/>
        <w:ind w:left="720" w:hanging="360"/>
      </w:pPr>
      <w:r>
        <w:t xml:space="preserve">If BS3 conflicts with PP3 or high SpliceAI, inspect assay metadata before interpreting the conflict.</w:t>
      </w:r>
    </w:p>
    <w:p>
      <w:pPr>
        <w:pStyle w:val="ListNumber"/>
        <w:ind w:left="720" w:hanging="360"/>
      </w:pPr>
      <w:r>
        <w:t xml:space="preserve">Search for missing accepted evidence: RNA, functional assay metadata, PS1, PP1, PM3, PS4, PP4, or curated ClinGen/ENIGMA and public laboratory assertion context.</w:t>
      </w:r>
    </w:p>
    <w:p>
      <w:pPr>
        <w:pStyle w:val="Heading2"/>
      </w:pPr>
      <w:r>
        <w:t xml:space="preserve">Limitations</w:t>
      </w:r>
    </w:p>
    <w:p>
      <w:r>
        <w:t xml:space="preserve">This analysis has several important limitations:</w:t>
      </w:r>
    </w:p>
    <w:p>
      <w:pPr>
        <w:pStyle w:val="ListBullet"/>
        <w:ind w:left="720" w:hanging="360"/>
      </w:pPr>
      <w:r>
        <w:t xml:space="preserve">It studies a generated ARIANE Module 1 snapshot, not an independent clinical reference set.</w:t>
      </w:r>
    </w:p>
    <w:p>
      <w:pPr>
        <w:pStyle w:val="ListBullet"/>
        <w:ind w:left="720" w:hanging="360"/>
      </w:pPr>
      <w:r>
        <w:t xml:space="preserve">It does not reclassify variants.</w:t>
      </w:r>
    </w:p>
    <w:p>
      <w:pPr>
        <w:pStyle w:val="ListBullet"/>
        <w:ind w:left="720" w:hanging="360"/>
      </w:pPr>
      <w:r>
        <w:t xml:space="preserve">It covers coding SNVs only.</w:t>
      </w:r>
    </w:p>
    <w:p>
      <w:pPr>
        <w:pStyle w:val="ListBullet"/>
        <w:ind w:left="720" w:hanging="360"/>
      </w:pPr>
      <w:r>
        <w:t xml:space="preserve">It does not include indels, CNVs, deep intronic variants, promoter variants, or UTR variants.</w:t>
      </w:r>
    </w:p>
    <w:p>
      <w:pPr>
        <w:pStyle w:val="ListBullet"/>
        <w:ind w:left="720" w:hanging="360"/>
      </w:pPr>
      <w:r>
        <w:t xml:space="preserve">It uses only currently automated Module 1 criteria.</w:t>
      </w:r>
    </w:p>
    <w:p>
      <w:pPr>
        <w:pStyle w:val="ListBullet"/>
        <w:ind w:left="720" w:hanging="360"/>
      </w:pPr>
      <w:r>
        <w:t xml:space="preserve">Several important ACMG/ENIGMA criteria remain non-automated and require manual review.</w:t>
      </w:r>
    </w:p>
    <w:p>
      <w:pPr>
        <w:pStyle w:val="ListBullet"/>
        <w:ind w:left="720" w:hanging="360"/>
      </w:pPr>
      <w:r>
        <w:t xml:space="preserve">Domain and interface annotations are incomplete and should not be treated as classification evidence.</w:t>
      </w:r>
    </w:p>
    <w:p>
      <w:pPr>
        <w:pStyle w:val="ListBullet"/>
        <w:ind w:left="720" w:hanging="360"/>
      </w:pPr>
      <w:r>
        <w:t xml:space="preserve">BS3 and PS3 require assay metadata to understand what biological mechanism was measured.</w:t>
      </w:r>
    </w:p>
    <w:p>
      <w:pPr>
        <w:pStyle w:val="ListBullet"/>
        <w:ind w:left="720" w:hanging="360"/>
      </w:pPr>
      <w:r>
        <w:t xml:space="preserve">The current priority score is heuristic. Thresholds and weights need additional sensitivity analysis and external justification before clinical or publication-level claims are made.</w:t>
      </w:r>
    </w:p>
    <w:p>
      <w:pPr>
        <w:pStyle w:val="ListBullet"/>
        <w:ind w:left="720" w:hanging="360"/>
      </w:pPr>
      <w:r>
        <w:t xml:space="preserve">A specific priority-score sensitivity test is now indicated: direct functional PS3 evidence has 25 priority points, while high SpliceAI has 30. The current weights can place many functionally LOF PS3+PM2_Supporting VUS at the tier3 floor even though they are one evidence item short in the action plan. A future version should separate review priority from distance-to-threshold explicitly.</w:t>
      </w:r>
    </w:p>
    <w:p>
      <w:pPr>
        <w:pStyle w:val="ListBullet"/>
        <w:ind w:left="720" w:hanging="360"/>
      </w:pPr>
      <w:r>
        <w:t xml:space="preserve">The neighborhood component is partially redundant with the generated rule-based map. It is useful as context and review triage, but it should not be described as independent evidence.</w:t>
      </w:r>
    </w:p>
    <w:p>
      <w:pPr>
        <w:pStyle w:val="ListBullet"/>
        <w:ind w:left="720" w:hanging="360"/>
      </w:pPr>
      <w:r>
        <w:t xml:space="preserve">The framework still needs validation against external curated classifications, such as ENIGMA, ClinVar high-review variants, EQA examples, or local manual review data.</w:t>
      </w:r>
    </w:p>
    <w:p>
      <w:pPr>
        <w:pStyle w:val="ListBullet"/>
        <w:ind w:left="720" w:hanging="360"/>
      </w:pPr>
      <w:r>
        <w:t xml:space="preserve">Public ClinVar and ClinGen/ENIGMA assertions are current clinical/laboratory context, not a clinical reference set. They should be used to guide manual inspection of evidence and submitter context.</w:t>
      </w:r>
    </w:p>
    <w:p>
      <w:pPr>
        <w:pStyle w:val="ListBullet"/>
        <w:ind w:left="720" w:hanging="360"/>
      </w:pPr>
      <w:r>
        <w:t xml:space="preserve">Findlay SGE provides a useful external functional axis only for a restricted BRCA1 subset; BRCA2 remains much less covered by comparable dense functional data in the current analysis.</w:t>
      </w:r>
    </w:p>
    <w:p>
      <w:pPr>
        <w:pStyle w:val="ListBullet"/>
        <w:ind w:left="720" w:hanging="360"/>
      </w:pPr>
      <w:r>
        <w:t xml:space="preserve">A practical validation step is still missing: a small review-yield pilot comparing tier1/tier2, tier3, and tier4/PM2-only variants. The relevant outcome is not automatic reclassification, but whether manual review finds actionable external evidence more often in the higher-priority groups.</w:t>
      </w:r>
    </w:p>
    <w:p>
      <w:pPr>
        <w:pStyle w:val="Heading2"/>
      </w:pPr>
      <w:r>
        <w:t xml:space="preserve">Conclusion</w:t>
      </w:r>
    </w:p>
    <w:p>
      <w:r>
        <w:t xml:space="preserve">The strongest current use of the ARIANE Module 1 snapshot is an auditable manual-review queue. It separates variant-level signals, neighborhood-driven context, and evidence-conflict cases, without turning those signals into new classification criteria. This gives curators a more systematic first pass through thousands of BRCA1/2 VUS.</w:t>
      </w:r>
    </w:p>
    <w:p>
      <w:r>
        <w:t xml:space="preserve">The most useful current output is a structured review queue for internal curation and method development. It is not yet a validated prioritization method. External validation against curated clinical assertions, such as ENIGMA, ClinVar high-review variants, EQA examples, or local manual review data, is required before claiming that tier1/tier2 variants are truly more likely to be clinically resolvable or more useful to review first.</w:t>
      </w:r>
    </w:p>
    <w:p>
      <w:r>
        <w:t xml:space="preserve">A realistic next validation would measure review yield: for example, manually review 30 tier1/tier2 variants, 30 tier3 variants, and 30 tier4 or PM2-only variants, then compare how often actionable external evidence is found.</w:t>
      </w:r>
    </w:p>
    <w:p>
      <w:pPr>
        <w:pStyle w:val="Heading2"/>
      </w:pPr>
      <w:r>
        <w:t xml:space="preserve">Main Local Outputs Used</w:t>
      </w:r>
    </w:p>
    <w:p>
      <w:pPr>
        <w:pStyle w:val="ListBullet"/>
        <w:ind w:left="720" w:hanging="360"/>
      </w:pPr>
      <w:r>
        <w:t xml:space="preserve">tables/vus_prioritization/vus_priority_annotated.csv</w:t>
      </w:r>
    </w:p>
    <w:p>
      <w:pPr>
        <w:pStyle w:val="ListBullet"/>
        <w:ind w:left="720" w:hanging="360"/>
      </w:pPr>
      <w:r>
        <w:t xml:space="preserve">tables/vus_prioritization/vus_priority_top_by_category.csv</w:t>
      </w:r>
    </w:p>
    <w:p>
      <w:pPr>
        <w:pStyle w:val="ListBullet"/>
        <w:ind w:left="720" w:hanging="360"/>
      </w:pPr>
      <w:r>
        <w:t xml:space="preserve">tables/vus_bottleneck/vus_bottleneck_summary.csv</w:t>
      </w:r>
    </w:p>
    <w:p>
      <w:pPr>
        <w:pStyle w:val="ListBullet"/>
        <w:ind w:left="720" w:hanging="360"/>
      </w:pPr>
      <w:r>
        <w:t xml:space="preserve">tables/vus_pathogenic_regions/vus_pathogenic_region_top_candidates.csv</w:t>
      </w:r>
    </w:p>
    <w:p>
      <w:pPr>
        <w:pStyle w:val="ListBullet"/>
        <w:ind w:left="720" w:hanging="360"/>
      </w:pPr>
      <w:r>
        <w:t xml:space="preserve">tables/benign_counterexamples/benign_counterexamples.csv</w:t>
      </w:r>
    </w:p>
    <w:p>
      <w:pPr>
        <w:pStyle w:val="ListBullet"/>
        <w:ind w:left="720" w:hanging="360"/>
      </w:pPr>
      <w:r>
        <w:t xml:space="preserve">tables/bs3_domain_conflicts/bs3_domain_conflict_variants.csv</w:t>
      </w:r>
    </w:p>
    <w:p>
      <w:pPr>
        <w:pStyle w:val="ListBullet"/>
        <w:ind w:left="720" w:hanging="360"/>
      </w:pPr>
      <w:r>
        <w:t xml:space="preserve">tables/bs3_functional_source_audit/brca1_bs3_table9_vs_findlay_sge.csv</w:t>
      </w:r>
    </w:p>
    <w:p>
      <w:pPr>
        <w:pStyle w:val="ListBullet"/>
        <w:ind w:left="720" w:hanging="360"/>
      </w:pPr>
      <w:r>
        <w:t xml:space="preserve">tables/bs3_functional_source_audit/brca1_bs3_findlay_match_summary.csv</w:t>
      </w:r>
    </w:p>
    <w:p>
      <w:pPr>
        <w:pStyle w:val="ListBullet"/>
        <w:ind w:left="720" w:hanging="360"/>
      </w:pPr>
      <w:r>
        <w:t xml:space="preserve">tables/vus_manuscript_critique_response/neighborhood_increment_summary.csv</w:t>
      </w:r>
    </w:p>
    <w:p>
      <w:pPr>
        <w:pStyle w:val="ListBullet"/>
        <w:ind w:left="720" w:hanging="360"/>
      </w:pPr>
      <w:r>
        <w:t xml:space="preserve">tables/vus_manuscript_critique_response/tier_transition_without_neighborhood.csv</w:t>
      </w:r>
    </w:p>
    <w:p>
      <w:pPr>
        <w:pStyle w:val="ListBullet"/>
        <w:ind w:left="720" w:hanging="360"/>
      </w:pPr>
      <w:r>
        <w:t xml:space="preserve">tables/findlay_sge_vus_tier/brca1_vus_with_findlay_sge_scores.csv</w:t>
      </w:r>
    </w:p>
    <w:p>
      <w:pPr>
        <w:pStyle w:val="ListBullet"/>
        <w:ind w:left="720" w:hanging="360"/>
      </w:pPr>
      <w:r>
        <w:t xml:space="preserve">tables/vus_evidence_action_plan/vus_evidence_action_plan_variants.csv</w:t>
      </w:r>
    </w:p>
    <w:p>
      <w:pPr>
        <w:pStyle w:val="ListBullet"/>
        <w:ind w:left="720" w:hanging="360"/>
      </w:pPr>
      <w:r>
        <w:t xml:space="preserve">tables/public_classification_snapshot/public_classification_snapshot_variants.csv</w:t>
      </w:r>
    </w:p>
    <w:p>
      <w:pPr>
        <w:pStyle w:val="ListBullet"/>
        <w:ind w:left="720" w:hanging="360"/>
      </w:pPr>
      <w:r>
        <w:t xml:space="preserve">tables/priority_queue_synthesis/priority_queue_synthesis_variants.csv</w:t>
      </w:r>
    </w:p>
    <w:p>
      <w:pPr>
        <w:pStyle w:val="ListBullet"/>
        <w:ind w:left="720" w:hanging="360"/>
      </w:pPr>
      <w:r>
        <w:t xml:space="preserve">tables/priority_queue_synthesis/priority_queue_counts.csv</w:t>
      </w:r>
    </w:p>
    <w:p>
      <w:pPr>
        <w:pStyle w:val="ListBullet"/>
        <w:ind w:left="720" w:hanging="360"/>
      </w:pPr>
      <w:r>
        <w:t xml:space="preserve">tables/priority_queue_synthesis/priority_queue_overlap.csv</w:t>
      </w:r>
    </w:p>
    <w:p>
      <w:pPr>
        <w:pStyle w:val="ListBullet"/>
        <w:ind w:left="720" w:hanging="360"/>
      </w:pPr>
      <w:r>
        <w:t xml:space="preserve">tables/cross_gene_normalized/gene_normalized_grouped_class_distribution.csv</w:t>
      </w:r>
    </w:p>
    <w:p>
      <w:pPr>
        <w:pStyle w:val="ListBullet"/>
        <w:ind w:left="720" w:hanging="360"/>
      </w:pPr>
      <w:r>
        <w:t xml:space="preserve">tables/cross_gene_normalized/gene_normalized_priority_queues.csv</w:t>
      </w:r>
    </w:p>
    <w:p>
      <w:pPr>
        <w:pStyle w:val="ListBullet"/>
        <w:ind w:left="720" w:hanging="360"/>
      </w:pPr>
      <w:r>
        <w:t xml:space="preserve">tables/cross_gene_normalized/gene_normalized_evidence_action_groups.csv</w:t>
      </w:r>
    </w:p>
    <w:p>
      <w:pPr>
        <w:pStyle w:val="ListBullet"/>
        <w:ind w:left="720" w:hanging="360"/>
      </w:pPr>
      <w:r>
        <w:t xml:space="preserve">vus_prioritization_report.md</w:t>
      </w:r>
    </w:p>
    <w:p>
      <w:pPr>
        <w:pStyle w:val="ListBullet"/>
        <w:ind w:left="720" w:hanging="360"/>
      </w:pPr>
      <w:r>
        <w:t xml:space="preserve">vus_bottleneck_report.md</w:t>
      </w:r>
    </w:p>
    <w:p>
      <w:pPr>
        <w:pStyle w:val="ListBullet"/>
        <w:ind w:left="720" w:hanging="360"/>
      </w:pPr>
      <w:r>
        <w:t xml:space="preserve">vus_pathogenic_region_report.md</w:t>
      </w:r>
    </w:p>
    <w:p>
      <w:pPr>
        <w:pStyle w:val="ListBullet"/>
        <w:ind w:left="720" w:hanging="360"/>
      </w:pPr>
      <w:r>
        <w:t xml:space="preserve">benign_counterexamples_report.md</w:t>
      </w:r>
    </w:p>
    <w:p>
      <w:pPr>
        <w:pStyle w:val="ListBullet"/>
        <w:ind w:left="720" w:hanging="360"/>
      </w:pPr>
      <w:r>
        <w:t xml:space="preserve">bs3_domain_conflict_report.md</w:t>
      </w:r>
    </w:p>
    <w:p>
      <w:pPr>
        <w:pStyle w:val="ListBullet"/>
        <w:ind w:left="720" w:hanging="360"/>
      </w:pPr>
      <w:r>
        <w:t xml:space="preserve">bs3_functional_source_audit_report.md</w:t>
      </w:r>
    </w:p>
    <w:p>
      <w:pPr>
        <w:pStyle w:val="ListBullet"/>
        <w:ind w:left="720" w:hanging="360"/>
      </w:pPr>
      <w:r>
        <w:t xml:space="preserve">vus_manuscript_critique_response_report.md</w:t>
      </w:r>
    </w:p>
    <w:p>
      <w:pPr>
        <w:pStyle w:val="ListBullet"/>
        <w:ind w:left="720" w:hanging="360"/>
      </w:pPr>
      <w:r>
        <w:t xml:space="preserve">findlay_sge_vus_tier_report.md</w:t>
      </w:r>
    </w:p>
    <w:p>
      <w:pPr>
        <w:pStyle w:val="ListBullet"/>
        <w:ind w:left="720" w:hanging="360"/>
      </w:pPr>
      <w:r>
        <w:t xml:space="preserve">vus_evidence_action_plan_report.md</w:t>
      </w:r>
    </w:p>
    <w:p>
      <w:pPr>
        <w:pStyle w:val="ListBullet"/>
        <w:ind w:left="720" w:hanging="360"/>
      </w:pPr>
      <w:r>
        <w:t xml:space="preserve">public_classification_snapshot_report.md</w:t>
      </w:r>
    </w:p>
    <w:p>
      <w:pPr>
        <w:pStyle w:val="ListBullet"/>
        <w:ind w:left="720" w:hanging="360"/>
      </w:pPr>
      <w:r>
        <w:t xml:space="preserve">priority_queue_synthesis_report.md</w:t>
      </w:r>
    </w:p>
    <w:p>
      <w:pPr>
        <w:pStyle w:val="ListBullet"/>
        <w:ind w:left="720" w:hanging="360"/>
      </w:pPr>
      <w:r>
        <w:t xml:space="preserve">cross_gene_normalized_report.md</w:t>
      </w:r>
    </w:p>
    <w:p>
      <w:pPr>
        <w:pStyle w:val="Heading2"/>
      </w:pPr>
      <w:r>
        <w:t xml:space="preserve">Embedded Figures</w:t>
      </w:r>
    </w:p>
    <w:p>
      <w:pPr>
        <w:pStyle w:val="Heading3"/>
      </w:pPr>
      <w:r>
        <w:t xml:space="preserve">Figure 1A. VUS priority score distribution</w:t>
      </w:r>
    </w:p>
    <w:p>
      <w:pPr>
        <w:jc w:val="center"/>
      </w:pPr>
      <w:r>
        <w:drawing>
          <wp:inline distT="0" distB="0" distL="0" distR="0">
            <wp:extent cx="5760720" cy="2728762"/>
            <wp:effectExtent l="0" t="0" r="0" b="0"/>
            <wp:docPr id="101" name="vus_priority_score_histogram.svg"/>
            <wp:cNvGraphicFramePr>
              <a:graphicFrameLocks noChangeAspect="1"/>
            </wp:cNvGraphicFramePr>
            <a:graphic>
              <a:graphicData uri="http://schemas.openxmlformats.org/drawingml/2006/picture">
                <pic:pic>
                  <pic:nvPicPr>
                    <pic:cNvPr id="101" name="vus_priority_score_histogram.svg"/>
                    <pic:cNvPicPr/>
                  </pic:nvPicPr>
                  <pic:blipFill>
                    <a:blip r:embed="rIdImg1"/>
                    <a:stretch>
                      <a:fillRect/>
                    </a:stretch>
                  </pic:blipFill>
                  <pic:spPr>
                    <a:xfrm>
                      <a:off x="0" y="0"/>
                      <a:ext cx="5760720" cy="2728762"/>
                    </a:xfrm>
                    <a:prstGeom prst="rect">
                      <a:avLst/>
                    </a:prstGeom>
                  </pic:spPr>
                </pic:pic>
              </a:graphicData>
            </a:graphic>
          </wp:inline>
        </w:drawing>
      </w:r>
    </w:p>
    <w:p>
      <w:pPr>
        <w:pStyle w:val="Heading3"/>
      </w:pPr>
      <w:r>
        <w:t xml:space="preserve">Figure 1B. Most common VUS priority reasons</w:t>
      </w:r>
    </w:p>
    <w:p>
      <w:pPr>
        <w:jc w:val="center"/>
      </w:pPr>
      <w:r>
        <w:drawing>
          <wp:inline distT="0" distB="0" distL="0" distR="0">
            <wp:extent cx="5760720" cy="2850040"/>
            <wp:effectExtent l="0" t="0" r="0" b="0"/>
            <wp:docPr id="102" name="vus_priority_reason_counts.svg"/>
            <wp:cNvGraphicFramePr>
              <a:graphicFrameLocks noChangeAspect="1"/>
            </wp:cNvGraphicFramePr>
            <a:graphic>
              <a:graphicData uri="http://schemas.openxmlformats.org/drawingml/2006/picture">
                <pic:pic>
                  <pic:nvPicPr>
                    <pic:cNvPr id="102" name="vus_priority_reason_counts.svg"/>
                    <pic:cNvPicPr/>
                  </pic:nvPicPr>
                  <pic:blipFill>
                    <a:blip r:embed="rIdImg2"/>
                    <a:stretch>
                      <a:fillRect/>
                    </a:stretch>
                  </pic:blipFill>
                  <pic:spPr>
                    <a:xfrm>
                      <a:off x="0" y="0"/>
                      <a:ext cx="5760720" cy="2850040"/>
                    </a:xfrm>
                    <a:prstGeom prst="rect">
                      <a:avLst/>
                    </a:prstGeom>
                  </pic:spPr>
                </pic:pic>
              </a:graphicData>
            </a:graphic>
          </wp:inline>
        </w:drawing>
      </w:r>
    </w:p>
    <w:p>
      <w:pPr>
        <w:pStyle w:val="Heading3"/>
      </w:pPr>
      <w:r>
        <w:t xml:space="preserve">Figure 1C. Neighborhood contribution to VUS priority</w:t>
      </w:r>
    </w:p>
    <w:p>
      <w:pPr>
        <w:jc w:val="center"/>
      </w:pPr>
      <w:r>
        <w:drawing>
          <wp:inline distT="0" distB="0" distL="0" distR="0">
            <wp:extent cx="5760720" cy="2304288"/>
            <wp:effectExtent l="0" t="0" r="0" b="0"/>
            <wp:docPr id="103" name="neighborhood_increment_summary.svg"/>
            <wp:cNvGraphicFramePr>
              <a:graphicFrameLocks noChangeAspect="1"/>
            </wp:cNvGraphicFramePr>
            <a:graphic>
              <a:graphicData uri="http://schemas.openxmlformats.org/drawingml/2006/picture">
                <pic:pic>
                  <pic:nvPicPr>
                    <pic:cNvPr id="103" name="neighborhood_increment_summary.svg"/>
                    <pic:cNvPicPr/>
                  </pic:nvPicPr>
                  <pic:blipFill>
                    <a:blip r:embed="rIdImg3"/>
                    <a:stretch>
                      <a:fillRect/>
                    </a:stretch>
                  </pic:blipFill>
                  <pic:spPr>
                    <a:xfrm>
                      <a:off x="0" y="0"/>
                      <a:ext cx="5760720" cy="2304288"/>
                    </a:xfrm>
                    <a:prstGeom prst="rect">
                      <a:avLst/>
                    </a:prstGeom>
                  </pic:spPr>
                </pic:pic>
              </a:graphicData>
            </a:graphic>
          </wp:inline>
        </w:drawing>
      </w:r>
    </w:p>
    <w:p>
      <w:pPr>
        <w:pStyle w:val="Heading3"/>
      </w:pPr>
      <w:r>
        <w:t xml:space="preserve">Figure 1D. Priority tier change after removing neighborhood points</w:t>
      </w:r>
    </w:p>
    <w:p>
      <w:pPr>
        <w:jc w:val="center"/>
      </w:pPr>
      <w:r>
        <w:drawing>
          <wp:inline distT="0" distB="0" distL="0" distR="0">
            <wp:extent cx="5760720" cy="2950612"/>
            <wp:effectExtent l="0" t="0" r="0" b="0"/>
            <wp:docPr id="104" name="tier_transition_without_neighborhood.svg"/>
            <wp:cNvGraphicFramePr>
              <a:graphicFrameLocks noChangeAspect="1"/>
            </wp:cNvGraphicFramePr>
            <a:graphic>
              <a:graphicData uri="http://schemas.openxmlformats.org/drawingml/2006/picture">
                <pic:pic>
                  <pic:nvPicPr>
                    <pic:cNvPr id="104" name="tier_transition_without_neighborhood.svg"/>
                    <pic:cNvPicPr/>
                  </pic:nvPicPr>
                  <pic:blipFill>
                    <a:blip r:embed="rIdImg4"/>
                    <a:stretch>
                      <a:fillRect/>
                    </a:stretch>
                  </pic:blipFill>
                  <pic:spPr>
                    <a:xfrm>
                      <a:off x="0" y="0"/>
                      <a:ext cx="5760720" cy="2950612"/>
                    </a:xfrm>
                    <a:prstGeom prst="rect">
                      <a:avLst/>
                    </a:prstGeom>
                  </pic:spPr>
                </pic:pic>
              </a:graphicData>
            </a:graphic>
          </wp:inline>
        </w:drawing>
      </w:r>
    </w:p>
    <w:p>
      <w:pPr>
        <w:pStyle w:val="Heading3"/>
      </w:pPr>
      <w:r>
        <w:t xml:space="preserve">Figure 2A. VUS pathogenic-region summary</w:t>
      </w:r>
    </w:p>
    <w:p>
      <w:pPr>
        <w:jc w:val="center"/>
      </w:pPr>
      <w:r>
        <w:drawing>
          <wp:inline distT="0" distB="0" distL="0" distR="0">
            <wp:extent cx="5760720" cy="2010373"/>
            <wp:effectExtent l="0" t="0" r="0" b="0"/>
            <wp:docPr id="105" name="vus_pathogenic_region_summary.svg"/>
            <wp:cNvGraphicFramePr>
              <a:graphicFrameLocks noChangeAspect="1"/>
            </wp:cNvGraphicFramePr>
            <a:graphic>
              <a:graphicData uri="http://schemas.openxmlformats.org/drawingml/2006/picture">
                <pic:pic>
                  <pic:nvPicPr>
                    <pic:cNvPr id="105" name="vus_pathogenic_region_summary.svg"/>
                    <pic:cNvPicPr/>
                  </pic:nvPicPr>
                  <pic:blipFill>
                    <a:blip r:embed="rIdImg5"/>
                    <a:stretch>
                      <a:fillRect/>
                    </a:stretch>
                  </pic:blipFill>
                  <pic:spPr>
                    <a:xfrm>
                      <a:off x="0" y="0"/>
                      <a:ext cx="5760720" cy="2010373"/>
                    </a:xfrm>
                    <a:prstGeom prst="rect">
                      <a:avLst/>
                    </a:prstGeom>
                  </pic:spPr>
                </pic:pic>
              </a:graphicData>
            </a:graphic>
          </wp:inline>
        </w:drawing>
      </w:r>
    </w:p>
    <w:p>
      <w:pPr>
        <w:pStyle w:val="Heading3"/>
      </w:pPr>
      <w:r>
        <w:t xml:space="preserve">Figure 2B. VUS local neighborhood: pathogenic versus benign, +/-20 bp</w:t>
      </w:r>
    </w:p>
    <w:p>
      <w:pPr>
        <w:jc w:val="center"/>
      </w:pPr>
      <w:r>
        <w:drawing>
          <wp:inline distT="0" distB="0" distL="0" distR="0">
            <wp:extent cx="5760720" cy="4098973"/>
            <wp:effectExtent l="0" t="0" r="0" b="0"/>
            <wp:docPr id="106" name="vus_pathogenic_vs_benign_neighborhood_20bp.svg"/>
            <wp:cNvGraphicFramePr>
              <a:graphicFrameLocks noChangeAspect="1"/>
            </wp:cNvGraphicFramePr>
            <a:graphic>
              <a:graphicData uri="http://schemas.openxmlformats.org/drawingml/2006/picture">
                <pic:pic>
                  <pic:nvPicPr>
                    <pic:cNvPr id="106" name="vus_pathogenic_vs_benign_neighborhood_20bp.svg"/>
                    <pic:cNvPicPr/>
                  </pic:nvPicPr>
                  <pic:blipFill>
                    <a:blip r:embed="rIdImg6"/>
                    <a:stretch>
                      <a:fillRect/>
                    </a:stretch>
                  </pic:blipFill>
                  <pic:spPr>
                    <a:xfrm>
                      <a:off x="0" y="0"/>
                      <a:ext cx="5760720" cy="4098973"/>
                    </a:xfrm>
                    <a:prstGeom prst="rect">
                      <a:avLst/>
                    </a:prstGeom>
                  </pic:spPr>
                </pic:pic>
              </a:graphicData>
            </a:graphic>
          </wp:inline>
        </w:drawing>
      </w:r>
    </w:p>
    <w:p>
      <w:pPr>
        <w:pStyle w:val="Heading3"/>
      </w:pPr>
      <w:r>
        <w:t xml:space="preserve">Figure 2C. BRCA1 BRCT1 mixed VUS cluster, c.5044-c.5143</w:t>
      </w:r>
    </w:p>
    <w:p>
      <w:pPr>
        <w:jc w:val="center"/>
      </w:pPr>
      <w:r>
        <w:drawing>
          <wp:inline distT="0" distB="0" distL="0" distR="0">
            <wp:extent cx="5760720" cy="1903966"/>
            <wp:effectExtent l="0" t="0" r="0" b="0"/>
            <wp:docPr id="107" name="brca1_brct1_mixed_cluster_class_profile.svg"/>
            <wp:cNvGraphicFramePr>
              <a:graphicFrameLocks noChangeAspect="1"/>
            </wp:cNvGraphicFramePr>
            <a:graphic>
              <a:graphicData uri="http://schemas.openxmlformats.org/drawingml/2006/picture">
                <pic:pic>
                  <pic:nvPicPr>
                    <pic:cNvPr id="107" name="brca1_brct1_mixed_cluster_class_profile.svg"/>
                    <pic:cNvPicPr/>
                  </pic:nvPicPr>
                  <pic:blipFill>
                    <a:blip r:embed="rIdImg7"/>
                    <a:stretch>
                      <a:fillRect/>
                    </a:stretch>
                  </pic:blipFill>
                  <pic:spPr>
                    <a:xfrm>
                      <a:off x="0" y="0"/>
                      <a:ext cx="5760720" cy="1903966"/>
                    </a:xfrm>
                    <a:prstGeom prst="rect">
                      <a:avLst/>
                    </a:prstGeom>
                  </pic:spPr>
                </pic:pic>
              </a:graphicData>
            </a:graphic>
          </wp:inline>
        </w:drawing>
      </w:r>
    </w:p>
    <w:p>
      <w:pPr>
        <w:pStyle w:val="Heading3"/>
      </w:pPr>
      <w:r>
        <w:t xml:space="preserve">Figure 3. Position is not variant: local context is not evidence</w:t>
      </w:r>
    </w:p>
    <w:p>
      <w:pPr>
        <w:jc w:val="center"/>
      </w:pPr>
      <w:r>
        <w:drawing>
          <wp:inline distT="0" distB="0" distL="0" distR="0">
            <wp:extent cx="5760720" cy="4060835"/>
            <wp:effectExtent l="0" t="0" r="0" b="0"/>
            <wp:docPr id="108" name="position_is_not_variant_context_is_not_evidence.svg"/>
            <wp:cNvGraphicFramePr>
              <a:graphicFrameLocks noChangeAspect="1"/>
            </wp:cNvGraphicFramePr>
            <a:graphic>
              <a:graphicData uri="http://schemas.openxmlformats.org/drawingml/2006/picture">
                <pic:pic>
                  <pic:nvPicPr>
                    <pic:cNvPr id="108" name="position_is_not_variant_context_is_not_evidence.svg"/>
                    <pic:cNvPicPr/>
                  </pic:nvPicPr>
                  <pic:blipFill>
                    <a:blip r:embed="rIdImg8"/>
                    <a:stretch>
                      <a:fillRect/>
                    </a:stretch>
                  </pic:blipFill>
                  <pic:spPr>
                    <a:xfrm>
                      <a:off x="0" y="0"/>
                      <a:ext cx="5760720" cy="4060835"/>
                    </a:xfrm>
                    <a:prstGeom prst="rect">
                      <a:avLst/>
                    </a:prstGeom>
                  </pic:spPr>
                </pic:pic>
              </a:graphicData>
            </a:graphic>
          </wp:inline>
        </w:drawing>
      </w:r>
    </w:p>
    <w:p>
      <w:pPr>
        <w:pStyle w:val="Heading3"/>
      </w:pPr>
      <w:r>
        <w:t xml:space="preserve">Figure 4A. Regional signal categories</w:t>
      </w:r>
    </w:p>
    <w:p>
      <w:pPr>
        <w:jc w:val="center"/>
      </w:pPr>
      <w:r>
        <w:drawing>
          <wp:inline distT="0" distB="0" distL="0" distR="0">
            <wp:extent cx="5760720" cy="1092136"/>
            <wp:effectExtent l="0" t="0" r="0" b="0"/>
            <wp:docPr id="109" name="regional_signal_categories.svg"/>
            <wp:cNvGraphicFramePr>
              <a:graphicFrameLocks noChangeAspect="1"/>
            </wp:cNvGraphicFramePr>
            <a:graphic>
              <a:graphicData uri="http://schemas.openxmlformats.org/drawingml/2006/picture">
                <pic:pic>
                  <pic:nvPicPr>
                    <pic:cNvPr id="109" name="regional_signal_categories.svg"/>
                    <pic:cNvPicPr/>
                  </pic:nvPicPr>
                  <pic:blipFill>
                    <a:blip r:embed="rIdImg9"/>
                    <a:stretch>
                      <a:fillRect/>
                    </a:stretch>
                  </pic:blipFill>
                  <pic:spPr>
                    <a:xfrm>
                      <a:off x="0" y="0"/>
                      <a:ext cx="5760720" cy="1092136"/>
                    </a:xfrm>
                    <a:prstGeom prst="rect">
                      <a:avLst/>
                    </a:prstGeom>
                  </pic:spPr>
                </pic:pic>
              </a:graphicData>
            </a:graphic>
          </wp:inline>
        </w:drawing>
      </w:r>
    </w:p>
    <w:p>
      <w:pPr>
        <w:pStyle w:val="Heading3"/>
      </w:pPr>
      <w:r>
        <w:t xml:space="preserve">Figure 4B. Regional pathogenic fraction after driver exclusions</w:t>
      </w:r>
    </w:p>
    <w:p>
      <w:pPr>
        <w:jc w:val="center"/>
      </w:pPr>
      <w:r>
        <w:drawing>
          <wp:inline distT="0" distB="0" distL="0" distR="0">
            <wp:extent cx="5760720" cy="2624328"/>
            <wp:effectExtent l="0" t="0" r="0" b="0"/>
            <wp:docPr id="110" name="pathogenic_fraction_driver_ablation.svg"/>
            <wp:cNvGraphicFramePr>
              <a:graphicFrameLocks noChangeAspect="1"/>
            </wp:cNvGraphicFramePr>
            <a:graphic>
              <a:graphicData uri="http://schemas.openxmlformats.org/drawingml/2006/picture">
                <pic:pic>
                  <pic:nvPicPr>
                    <pic:cNvPr id="110" name="pathogenic_fraction_driver_ablation.svg"/>
                    <pic:cNvPicPr/>
                  </pic:nvPicPr>
                  <pic:blipFill>
                    <a:blip r:embed="rIdImg10"/>
                    <a:stretch>
                      <a:fillRect/>
                    </a:stretch>
                  </pic:blipFill>
                  <pic:spPr>
                    <a:xfrm>
                      <a:off x="0" y="0"/>
                      <a:ext cx="5760720" cy="2624328"/>
                    </a:xfrm>
                    <a:prstGeom prst="rect">
                      <a:avLst/>
                    </a:prstGeom>
                  </pic:spPr>
                </pic:pic>
              </a:graphicData>
            </a:graphic>
          </wp:inline>
        </w:drawing>
      </w:r>
    </w:p>
    <w:p>
      <w:pPr>
        <w:pStyle w:val="Heading3"/>
      </w:pPr>
      <w:r>
        <w:t xml:space="preserve">Figure 4C. BRCA1 regional driver tracks</w:t>
      </w:r>
    </w:p>
    <w:p>
      <w:pPr>
        <w:jc w:val="center"/>
      </w:pPr>
      <w:r>
        <w:drawing>
          <wp:inline distT="0" distB="0" distL="0" distR="0">
            <wp:extent cx="5760720" cy="3047275"/>
            <wp:effectExtent l="0" t="0" r="0" b="0"/>
            <wp:docPr id="111" name="brca1_regional_driver_tracks.svg"/>
            <wp:cNvGraphicFramePr>
              <a:graphicFrameLocks noChangeAspect="1"/>
            </wp:cNvGraphicFramePr>
            <a:graphic>
              <a:graphicData uri="http://schemas.openxmlformats.org/drawingml/2006/picture">
                <pic:pic>
                  <pic:nvPicPr>
                    <pic:cNvPr id="111" name="brca1_regional_driver_tracks.svg"/>
                    <pic:cNvPicPr/>
                  </pic:nvPicPr>
                  <pic:blipFill>
                    <a:blip r:embed="rIdImg11"/>
                    <a:stretch>
                      <a:fillRect/>
                    </a:stretch>
                  </pic:blipFill>
                  <pic:spPr>
                    <a:xfrm>
                      <a:off x="0" y="0"/>
                      <a:ext cx="5760720" cy="3047275"/>
                    </a:xfrm>
                    <a:prstGeom prst="rect">
                      <a:avLst/>
                    </a:prstGeom>
                  </pic:spPr>
                </pic:pic>
              </a:graphicData>
            </a:graphic>
          </wp:inline>
        </w:drawing>
      </w:r>
    </w:p>
    <w:p>
      <w:pPr>
        <w:pStyle w:val="Heading3"/>
      </w:pPr>
      <w:r>
        <w:t xml:space="preserve">Figure 4D. BRCA2 regional driver tracks</w:t>
      </w:r>
    </w:p>
    <w:p>
      <w:pPr>
        <w:jc w:val="center"/>
      </w:pPr>
      <w:r>
        <w:drawing>
          <wp:inline distT="0" distB="0" distL="0" distR="0">
            <wp:extent cx="5760720" cy="1955020"/>
            <wp:effectExtent l="0" t="0" r="0" b="0"/>
            <wp:docPr id="112" name="brca2_regional_driver_tracks.svg"/>
            <wp:cNvGraphicFramePr>
              <a:graphicFrameLocks noChangeAspect="1"/>
            </wp:cNvGraphicFramePr>
            <a:graphic>
              <a:graphicData uri="http://schemas.openxmlformats.org/drawingml/2006/picture">
                <pic:pic>
                  <pic:nvPicPr>
                    <pic:cNvPr id="112" name="brca2_regional_driver_tracks.svg"/>
                    <pic:cNvPicPr/>
                  </pic:nvPicPr>
                  <pic:blipFill>
                    <a:blip r:embed="rIdImg12"/>
                    <a:stretch>
                      <a:fillRect/>
                    </a:stretch>
                  </pic:blipFill>
                  <pic:spPr>
                    <a:xfrm>
                      <a:off x="0" y="0"/>
                      <a:ext cx="5760720" cy="1955020"/>
                    </a:xfrm>
                    <a:prstGeom prst="rect">
                      <a:avLst/>
                    </a:prstGeom>
                  </pic:spPr>
                </pic:pic>
              </a:graphicData>
            </a:graphic>
          </wp:inline>
        </w:drawing>
      </w:r>
    </w:p>
    <w:p>
      <w:pPr>
        <w:pStyle w:val="Heading3"/>
      </w:pPr>
      <w:r>
        <w:t xml:space="preserve">Figure 5A. Variant type and generated grouped class distribution</w:t>
      </w:r>
    </w:p>
    <w:p>
      <w:pPr>
        <w:jc w:val="center"/>
      </w:pPr>
      <w:r>
        <w:drawing>
          <wp:inline distT="0" distB="0" distL="0" distR="0">
            <wp:extent cx="5760720" cy="2254194"/>
            <wp:effectExtent l="0" t="0" r="0" b="0"/>
            <wp:docPr id="113" name="variant_type_grouped_class_stacked.svg"/>
            <wp:cNvGraphicFramePr>
              <a:graphicFrameLocks noChangeAspect="1"/>
            </wp:cNvGraphicFramePr>
            <a:graphic>
              <a:graphicData uri="http://schemas.openxmlformats.org/drawingml/2006/picture">
                <pic:pic>
                  <pic:nvPicPr>
                    <pic:cNvPr id="113" name="variant_type_grouped_class_stacked.svg"/>
                    <pic:cNvPicPr/>
                  </pic:nvPicPr>
                  <pic:blipFill>
                    <a:blip r:embed="rIdImg13"/>
                    <a:stretch>
                      <a:fillRect/>
                    </a:stretch>
                  </pic:blipFill>
                  <pic:spPr>
                    <a:xfrm>
                      <a:off x="0" y="0"/>
                      <a:ext cx="5760720" cy="2254194"/>
                    </a:xfrm>
                    <a:prstGeom prst="rect">
                      <a:avLst/>
                    </a:prstGeom>
                  </pic:spPr>
                </pic:pic>
              </a:graphicData>
            </a:graphic>
          </wp:inline>
        </w:drawing>
      </w:r>
    </w:p>
    <w:p>
      <w:pPr>
        <w:pStyle w:val="Heading3"/>
      </w:pPr>
      <w:r>
        <w:t xml:space="preserve">Figure 5B. Splice driver versus regional pathogenic fraction</w:t>
      </w:r>
    </w:p>
    <w:p>
      <w:pPr>
        <w:jc w:val="center"/>
      </w:pPr>
      <w:r>
        <w:drawing>
          <wp:inline distT="0" distB="0" distL="0" distR="0">
            <wp:extent cx="5760720" cy="4320540"/>
            <wp:effectExtent l="0" t="0" r="0" b="0"/>
            <wp:docPr id="114" name="splice_driver_vs_pathogenic_fraction.svg"/>
            <wp:cNvGraphicFramePr>
              <a:graphicFrameLocks noChangeAspect="1"/>
            </wp:cNvGraphicFramePr>
            <a:graphic>
              <a:graphicData uri="http://schemas.openxmlformats.org/drawingml/2006/picture">
                <pic:pic>
                  <pic:nvPicPr>
                    <pic:cNvPr id="114" name="splice_driver_vs_pathogenic_fraction.svg"/>
                    <pic:cNvPicPr/>
                  </pic:nvPicPr>
                  <pic:blipFill>
                    <a:blip r:embed="rIdImg14"/>
                    <a:stretch>
                      <a:fillRect/>
                    </a:stretch>
                  </pic:blipFill>
                  <pic:spPr>
                    <a:xfrm>
                      <a:off x="0" y="0"/>
                      <a:ext cx="5760720" cy="4320540"/>
                    </a:xfrm>
                    <a:prstGeom prst="rect">
                      <a:avLst/>
                    </a:prstGeom>
                  </pic:spPr>
                </pic:pic>
              </a:graphicData>
            </a:graphic>
          </wp:inline>
        </w:drawing>
      </w:r>
    </w:p>
    <w:p>
      <w:pPr>
        <w:pStyle w:val="Heading3"/>
      </w:pPr>
      <w:r>
        <w:t xml:space="preserve">Figure 5C. Functional evidence versus regional pathogenic fraction</w:t>
      </w:r>
    </w:p>
    <w:p>
      <w:pPr>
        <w:jc w:val="center"/>
      </w:pPr>
      <w:r>
        <w:drawing>
          <wp:inline distT="0" distB="0" distL="0" distR="0">
            <wp:extent cx="5760720" cy="4320540"/>
            <wp:effectExtent l="0" t="0" r="0" b="0"/>
            <wp:docPr id="115" name="functional_driver_vs_pathogenic_fraction.svg"/>
            <wp:cNvGraphicFramePr>
              <a:graphicFrameLocks noChangeAspect="1"/>
            </wp:cNvGraphicFramePr>
            <a:graphic>
              <a:graphicData uri="http://schemas.openxmlformats.org/drawingml/2006/picture">
                <pic:pic>
                  <pic:nvPicPr>
                    <pic:cNvPr id="115" name="functional_driver_vs_pathogenic_fraction.svg"/>
                    <pic:cNvPicPr/>
                  </pic:nvPicPr>
                  <pic:blipFill>
                    <a:blip r:embed="rIdImg15"/>
                    <a:stretch>
                      <a:fillRect/>
                    </a:stretch>
                  </pic:blipFill>
                  <pic:spPr>
                    <a:xfrm>
                      <a:off x="0" y="0"/>
                      <a:ext cx="5760720" cy="4320540"/>
                    </a:xfrm>
                    <a:prstGeom prst="rect">
                      <a:avLst/>
                    </a:prstGeom>
                  </pic:spPr>
                </pic:pic>
              </a:graphicData>
            </a:graphic>
          </wp:inline>
        </w:drawing>
      </w:r>
    </w:p>
    <w:p>
      <w:pPr>
        <w:pStyle w:val="Heading3"/>
      </w:pPr>
      <w:r>
        <w:t xml:space="preserve">Figure 5D. Mixed positions and codons after driver exclusions</w:t>
      </w:r>
    </w:p>
    <w:p>
      <w:pPr>
        <w:jc w:val="center"/>
      </w:pPr>
      <w:r>
        <w:drawing>
          <wp:inline distT="0" distB="0" distL="0" distR="0">
            <wp:extent cx="5760720" cy="2468880"/>
            <wp:effectExtent l="0" t="0" r="0" b="0"/>
            <wp:docPr id="116" name="mixed_position_codon_driver_ablation.svg"/>
            <wp:cNvGraphicFramePr>
              <a:graphicFrameLocks noChangeAspect="1"/>
            </wp:cNvGraphicFramePr>
            <a:graphic>
              <a:graphicData uri="http://schemas.openxmlformats.org/drawingml/2006/picture">
                <pic:pic>
                  <pic:nvPicPr>
                    <pic:cNvPr id="116" name="mixed_position_codon_driver_ablation.svg"/>
                    <pic:cNvPicPr/>
                  </pic:nvPicPr>
                  <pic:blipFill>
                    <a:blip r:embed="rIdImg16"/>
                    <a:stretch>
                      <a:fillRect/>
                    </a:stretch>
                  </pic:blipFill>
                  <pic:spPr>
                    <a:xfrm>
                      <a:off x="0" y="0"/>
                      <a:ext cx="5760720" cy="2468880"/>
                    </a:xfrm>
                    <a:prstGeom prst="rect">
                      <a:avLst/>
                    </a:prstGeom>
                  </pic:spPr>
                </pic:pic>
              </a:graphicData>
            </a:graphic>
          </wp:inline>
        </w:drawing>
      </w:r>
    </w:p>
    <w:p>
      <w:pPr>
        <w:pStyle w:val="Heading3"/>
      </w:pPr>
      <w:r>
        <w:t xml:space="preserve">Figure 6. VUS bottleneck categories</w:t>
      </w:r>
    </w:p>
    <w:p>
      <w:pPr>
        <w:jc w:val="center"/>
      </w:pPr>
      <w:r>
        <w:drawing>
          <wp:inline distT="0" distB="0" distL="0" distR="0">
            <wp:extent cx="5760720" cy="2040661"/>
            <wp:effectExtent l="0" t="0" r="0" b="0"/>
            <wp:docPr id="117" name="vus_bottleneck_categories.svg"/>
            <wp:cNvGraphicFramePr>
              <a:graphicFrameLocks noChangeAspect="1"/>
            </wp:cNvGraphicFramePr>
            <a:graphic>
              <a:graphicData uri="http://schemas.openxmlformats.org/drawingml/2006/picture">
                <pic:pic>
                  <pic:nvPicPr>
                    <pic:cNvPr id="117" name="vus_bottleneck_categories.svg"/>
                    <pic:cNvPicPr/>
                  </pic:nvPicPr>
                  <pic:blipFill>
                    <a:blip r:embed="rIdImg17"/>
                    <a:stretch>
                      <a:fillRect/>
                    </a:stretch>
                  </pic:blipFill>
                  <pic:spPr>
                    <a:xfrm>
                      <a:off x="0" y="0"/>
                      <a:ext cx="5760720" cy="2040661"/>
                    </a:xfrm>
                    <a:prstGeom prst="rect">
                      <a:avLst/>
                    </a:prstGeom>
                  </pic:spPr>
                </pic:pic>
              </a:graphicData>
            </a:graphic>
          </wp:inline>
        </w:drawing>
      </w:r>
    </w:p>
    <w:p>
      <w:pPr>
        <w:pStyle w:val="Heading3"/>
      </w:pPr>
      <w:r>
        <w:t xml:space="preserve">Figure 7A. Benign versus pathogenic feature rates</w:t>
      </w:r>
    </w:p>
    <w:p>
      <w:pPr>
        <w:jc w:val="center"/>
      </w:pPr>
      <w:r>
        <w:drawing>
          <wp:inline distT="0" distB="0" distL="0" distR="0">
            <wp:extent cx="5760720" cy="1896237"/>
            <wp:effectExtent l="0" t="0" r="0" b="0"/>
            <wp:docPr id="118" name="benign_vs_pathogenic_feature_comparison.svg"/>
            <wp:cNvGraphicFramePr>
              <a:graphicFrameLocks noChangeAspect="1"/>
            </wp:cNvGraphicFramePr>
            <a:graphic>
              <a:graphicData uri="http://schemas.openxmlformats.org/drawingml/2006/picture">
                <pic:pic>
                  <pic:nvPicPr>
                    <pic:cNvPr id="118" name="benign_vs_pathogenic_feature_comparison.svg"/>
                    <pic:cNvPicPr/>
                  </pic:nvPicPr>
                  <pic:blipFill>
                    <a:blip r:embed="rIdImg18"/>
                    <a:stretch>
                      <a:fillRect/>
                    </a:stretch>
                  </pic:blipFill>
                  <pic:spPr>
                    <a:xfrm>
                      <a:off x="0" y="0"/>
                      <a:ext cx="5760720" cy="1896237"/>
                    </a:xfrm>
                    <a:prstGeom prst="rect">
                      <a:avLst/>
                    </a:prstGeom>
                  </pic:spPr>
                </pic:pic>
              </a:graphicData>
            </a:graphic>
          </wp:inline>
        </w:drawing>
      </w:r>
    </w:p>
    <w:p>
      <w:pPr>
        <w:pStyle w:val="Heading3"/>
      </w:pPr>
      <w:r>
        <w:t xml:space="preserve">Figure 7B. Benign counterexample tiers</w:t>
      </w:r>
    </w:p>
    <w:p>
      <w:pPr>
        <w:jc w:val="center"/>
      </w:pPr>
      <w:r>
        <w:drawing>
          <wp:inline distT="0" distB="0" distL="0" distR="0">
            <wp:extent cx="5760720" cy="1213866"/>
            <wp:effectExtent l="0" t="0" r="0" b="0"/>
            <wp:docPr id="119" name="tier_summary.svg"/>
            <wp:cNvGraphicFramePr>
              <a:graphicFrameLocks noChangeAspect="1"/>
            </wp:cNvGraphicFramePr>
            <a:graphic>
              <a:graphicData uri="http://schemas.openxmlformats.org/drawingml/2006/picture">
                <pic:pic>
                  <pic:nvPicPr>
                    <pic:cNvPr id="119" name="tier_summary.svg"/>
                    <pic:cNvPicPr/>
                  </pic:nvPicPr>
                  <pic:blipFill>
                    <a:blip r:embed="rIdImg19"/>
                    <a:stretch>
                      <a:fillRect/>
                    </a:stretch>
                  </pic:blipFill>
                  <pic:spPr>
                    <a:xfrm>
                      <a:off x="0" y="0"/>
                      <a:ext cx="5760720" cy="1213866"/>
                    </a:xfrm>
                    <a:prstGeom prst="rect">
                      <a:avLst/>
                    </a:prstGeom>
                  </pic:spPr>
                </pic:pic>
              </a:graphicData>
            </a:graphic>
          </wp:inline>
        </w:drawing>
      </w:r>
    </w:p>
    <w:p>
      <w:pPr>
        <w:pStyle w:val="Heading3"/>
      </w:pPr>
      <w:r>
        <w:t xml:space="preserve">Figure 7C. BS3 benign variants by domain and mechanism</w:t>
      </w:r>
    </w:p>
    <w:p>
      <w:pPr>
        <w:jc w:val="center"/>
      </w:pPr>
      <w:r>
        <w:drawing>
          <wp:inline distT="0" distB="0" distL="0" distR="0">
            <wp:extent cx="5760720" cy="1792775"/>
            <wp:effectExtent l="0" t="0" r="0" b="0"/>
            <wp:docPr id="120" name="domain_mechanism_stacked.svg"/>
            <wp:cNvGraphicFramePr>
              <a:graphicFrameLocks noChangeAspect="1"/>
            </wp:cNvGraphicFramePr>
            <a:graphic>
              <a:graphicData uri="http://schemas.openxmlformats.org/drawingml/2006/picture">
                <pic:pic>
                  <pic:nvPicPr>
                    <pic:cNvPr id="120" name="domain_mechanism_stacked.svg"/>
                    <pic:cNvPicPr/>
                  </pic:nvPicPr>
                  <pic:blipFill>
                    <a:blip r:embed="rIdImg20"/>
                    <a:stretch>
                      <a:fillRect/>
                    </a:stretch>
                  </pic:blipFill>
                  <pic:spPr>
                    <a:xfrm>
                      <a:off x="0" y="0"/>
                      <a:ext cx="5760720" cy="1792775"/>
                    </a:xfrm>
                    <a:prstGeom prst="rect">
                      <a:avLst/>
                    </a:prstGeom>
                  </pic:spPr>
                </pic:pic>
              </a:graphicData>
            </a:graphic>
          </wp:inline>
        </w:drawing>
      </w:r>
    </w:p>
    <w:p>
      <w:pPr>
        <w:pStyle w:val="Heading3"/>
      </w:pPr>
      <w:r>
        <w:t xml:space="preserve">Figure 8A. Findlay SGE function score by VUS priority tier</w:t>
      </w:r>
    </w:p>
    <w:p>
      <w:pPr>
        <w:jc w:val="center"/>
      </w:pPr>
      <w:r>
        <w:drawing>
          <wp:inline distT="0" distB="0" distL="0" distR="0">
            <wp:extent cx="5760720" cy="2688336"/>
            <wp:effectExtent l="0" t="0" r="0" b="0"/>
            <wp:docPr id="121" name="findlay_sge_score_by_priority_tier.svg"/>
            <wp:cNvGraphicFramePr>
              <a:graphicFrameLocks noChangeAspect="1"/>
            </wp:cNvGraphicFramePr>
            <a:graphic>
              <a:graphicData uri="http://schemas.openxmlformats.org/drawingml/2006/picture">
                <pic:pic>
                  <pic:nvPicPr>
                    <pic:cNvPr id="121" name="findlay_sge_score_by_priority_tier.svg"/>
                    <pic:cNvPicPr/>
                  </pic:nvPicPr>
                  <pic:blipFill>
                    <a:blip r:embed="rIdImg21"/>
                    <a:stretch>
                      <a:fillRect/>
                    </a:stretch>
                  </pic:blipFill>
                  <pic:spPr>
                    <a:xfrm>
                      <a:off x="0" y="0"/>
                      <a:ext cx="5760720" cy="2688336"/>
                    </a:xfrm>
                    <a:prstGeom prst="rect">
                      <a:avLst/>
                    </a:prstGeom>
                  </pic:spPr>
                </pic:pic>
              </a:graphicData>
            </a:graphic>
          </wp:inline>
        </w:drawing>
      </w:r>
    </w:p>
    <w:p>
      <w:pPr>
        <w:pStyle w:val="Heading3"/>
      </w:pPr>
      <w:r>
        <w:t xml:space="preserve">Figure 8B. VUS evidence action groups</w:t>
      </w:r>
    </w:p>
    <w:p>
      <w:pPr>
        <w:jc w:val="center"/>
      </w:pPr>
      <w:r>
        <w:drawing>
          <wp:inline distT="0" distB="0" distL="0" distR="0">
            <wp:extent cx="5760720" cy="3056708"/>
            <wp:effectExtent l="0" t="0" r="0" b="0"/>
            <wp:docPr id="122" name="vus_evidence_action_groups.svg"/>
            <wp:cNvGraphicFramePr>
              <a:graphicFrameLocks noChangeAspect="1"/>
            </wp:cNvGraphicFramePr>
            <a:graphic>
              <a:graphicData uri="http://schemas.openxmlformats.org/drawingml/2006/picture">
                <pic:pic>
                  <pic:nvPicPr>
                    <pic:cNvPr id="122" name="vus_evidence_action_groups.svg"/>
                    <pic:cNvPicPr/>
                  </pic:nvPicPr>
                  <pic:blipFill>
                    <a:blip r:embed="rIdImg22"/>
                    <a:stretch>
                      <a:fillRect/>
                    </a:stretch>
                  </pic:blipFill>
                  <pic:spPr>
                    <a:xfrm>
                      <a:off x="0" y="0"/>
                      <a:ext cx="5760720" cy="3056708"/>
                    </a:xfrm>
                    <a:prstGeom prst="rect">
                      <a:avLst/>
                    </a:prstGeom>
                  </pic:spPr>
                </pic:pic>
              </a:graphicData>
            </a:graphic>
          </wp:inline>
        </w:drawing>
      </w:r>
    </w:p>
    <w:p>
      <w:pPr>
        <w:pStyle w:val="Heading3"/>
      </w:pPr>
      <w:r>
        <w:t xml:space="preserve">Figure 9A. Overlapping VUS review queues</w:t>
      </w:r>
    </w:p>
    <w:p>
      <w:pPr>
        <w:jc w:val="center"/>
      </w:pPr>
      <w:r>
        <w:drawing>
          <wp:inline distT="0" distB="0" distL="0" distR="0">
            <wp:extent cx="5760720" cy="2586445"/>
            <wp:effectExtent l="0" t="0" r="0" b="0"/>
            <wp:docPr id="123" name="priority_queue_counts.svg"/>
            <wp:cNvGraphicFramePr>
              <a:graphicFrameLocks noChangeAspect="1"/>
            </wp:cNvGraphicFramePr>
            <a:graphic>
              <a:graphicData uri="http://schemas.openxmlformats.org/drawingml/2006/picture">
                <pic:pic>
                  <pic:nvPicPr>
                    <pic:cNvPr id="123" name="priority_queue_counts.svg"/>
                    <pic:cNvPicPr/>
                  </pic:nvPicPr>
                  <pic:blipFill>
                    <a:blip r:embed="rIdImg23"/>
                    <a:stretch>
                      <a:fillRect/>
                    </a:stretch>
                  </pic:blipFill>
                  <pic:spPr>
                    <a:xfrm>
                      <a:off x="0" y="0"/>
                      <a:ext cx="5760720" cy="2586445"/>
                    </a:xfrm>
                    <a:prstGeom prst="rect">
                      <a:avLst/>
                    </a:prstGeom>
                  </pic:spPr>
                </pic:pic>
              </a:graphicData>
            </a:graphic>
          </wp:inline>
        </w:drawing>
      </w:r>
    </w:p>
    <w:p>
      <w:pPr>
        <w:pStyle w:val="Heading3"/>
      </w:pPr>
      <w:r>
        <w:t xml:space="preserve">Figure 9B. Priority queue overlap</w:t>
      </w:r>
    </w:p>
    <w:p>
      <w:pPr>
        <w:jc w:val="center"/>
      </w:pPr>
      <w:r>
        <w:drawing>
          <wp:inline distT="0" distB="0" distL="0" distR="0">
            <wp:extent cx="5760720" cy="4992624"/>
            <wp:effectExtent l="0" t="0" r="0" b="0"/>
            <wp:docPr id="124" name="priority_queue_overlap.svg"/>
            <wp:cNvGraphicFramePr>
              <a:graphicFrameLocks noChangeAspect="1"/>
            </wp:cNvGraphicFramePr>
            <a:graphic>
              <a:graphicData uri="http://schemas.openxmlformats.org/drawingml/2006/picture">
                <pic:pic>
                  <pic:nvPicPr>
                    <pic:cNvPr id="124" name="priority_queue_overlap.svg"/>
                    <pic:cNvPicPr/>
                  </pic:nvPicPr>
                  <pic:blipFill>
                    <a:blip r:embed="rIdImg24"/>
                    <a:stretch>
                      <a:fillRect/>
                    </a:stretch>
                  </pic:blipFill>
                  <pic:spPr>
                    <a:xfrm>
                      <a:off x="0" y="0"/>
                      <a:ext cx="5760720" cy="4992624"/>
                    </a:xfrm>
                    <a:prstGeom prst="rect">
                      <a:avLst/>
                    </a:prstGeom>
                  </pic:spPr>
                </pic:pic>
              </a:graphicData>
            </a:graphic>
          </wp:inline>
        </w:drawing>
      </w:r>
    </w:p>
    <w:p>
      <w:pPr>
        <w:pStyle w:val="Heading3"/>
      </w:pPr>
      <w:r>
        <w:t xml:space="preserve">Figure 10A. Gene-normalized grouped class distribution</w:t>
      </w:r>
    </w:p>
    <w:p>
      <w:pPr>
        <w:jc w:val="center"/>
      </w:pPr>
      <w:r>
        <w:drawing>
          <wp:inline distT="0" distB="0" distL="0" distR="0">
            <wp:extent cx="5181600" cy="2762250"/>
            <wp:effectExtent l="0" t="0" r="0" b="0"/>
            <wp:docPr id="125" name="gene_normalized_grouped_class_distribution_heatmap.svg"/>
            <wp:cNvGraphicFramePr>
              <a:graphicFrameLocks noChangeAspect="1"/>
            </wp:cNvGraphicFramePr>
            <a:graphic>
              <a:graphicData uri="http://schemas.openxmlformats.org/drawingml/2006/picture">
                <pic:pic>
                  <pic:nvPicPr>
                    <pic:cNvPr id="125" name="gene_normalized_grouped_class_distribution_heatmap.svg"/>
                    <pic:cNvPicPr/>
                  </pic:nvPicPr>
                  <pic:blipFill>
                    <a:blip r:embed="rIdImg25"/>
                    <a:stretch>
                      <a:fillRect/>
                    </a:stretch>
                  </pic:blipFill>
                  <pic:spPr>
                    <a:xfrm>
                      <a:off x="0" y="0"/>
                      <a:ext cx="5181600" cy="2762250"/>
                    </a:xfrm>
                    <a:prstGeom prst="rect">
                      <a:avLst/>
                    </a:prstGeom>
                  </pic:spPr>
                </pic:pic>
              </a:graphicData>
            </a:graphic>
          </wp:inline>
        </w:drawing>
      </w:r>
    </w:p>
    <w:p>
      <w:pPr>
        <w:pStyle w:val="Heading3"/>
      </w:pPr>
      <w:r>
        <w:t xml:space="preserve">Figure 10B. Gene-normalized criteria rates</w:t>
      </w:r>
    </w:p>
    <w:p>
      <w:pPr>
        <w:jc w:val="center"/>
      </w:pPr>
      <w:r>
        <w:drawing>
          <wp:inline distT="0" distB="0" distL="0" distR="0">
            <wp:extent cx="5181600" cy="6648450"/>
            <wp:effectExtent l="0" t="0" r="0" b="0"/>
            <wp:docPr id="126" name="gene_normalized_criteria_rate_heatmap.svg"/>
            <wp:cNvGraphicFramePr>
              <a:graphicFrameLocks noChangeAspect="1"/>
            </wp:cNvGraphicFramePr>
            <a:graphic>
              <a:graphicData uri="http://schemas.openxmlformats.org/drawingml/2006/picture">
                <pic:pic>
                  <pic:nvPicPr>
                    <pic:cNvPr id="126" name="gene_normalized_criteria_rate_heatmap.svg"/>
                    <pic:cNvPicPr/>
                  </pic:nvPicPr>
                  <pic:blipFill>
                    <a:blip r:embed="rIdImg26"/>
                    <a:stretch>
                      <a:fillRect/>
                    </a:stretch>
                  </pic:blipFill>
                  <pic:spPr>
                    <a:xfrm>
                      <a:off x="0" y="0"/>
                      <a:ext cx="5181600" cy="6648450"/>
                    </a:xfrm>
                    <a:prstGeom prst="rect">
                      <a:avLst/>
                    </a:prstGeom>
                  </pic:spPr>
                </pic:pic>
              </a:graphicData>
            </a:graphic>
          </wp:inline>
        </w:drawing>
      </w:r>
    </w:p>
    <w:p>
      <w:pPr>
        <w:pStyle w:val="Heading3"/>
      </w:pPr>
      <w:r>
        <w:t xml:space="preserve">Figure 10C. Gene-normalized priority queues per 1000 VUS</w:t>
      </w:r>
    </w:p>
    <w:p>
      <w:pPr>
        <w:jc w:val="center"/>
      </w:pPr>
      <w:r>
        <w:drawing>
          <wp:inline distT="0" distB="0" distL="0" distR="0">
            <wp:extent cx="5760720" cy="4220835"/>
            <wp:effectExtent l="0" t="0" r="0" b="0"/>
            <wp:docPr id="127" name="gene_normalized_priority_queues_per_1000_vus.svg"/>
            <wp:cNvGraphicFramePr>
              <a:graphicFrameLocks noChangeAspect="1"/>
            </wp:cNvGraphicFramePr>
            <a:graphic>
              <a:graphicData uri="http://schemas.openxmlformats.org/drawingml/2006/picture">
                <pic:pic>
                  <pic:nvPicPr>
                    <pic:cNvPr id="127" name="gene_normalized_priority_queues_per_1000_vus.svg"/>
                    <pic:cNvPicPr/>
                  </pic:nvPicPr>
                  <pic:blipFill>
                    <a:blip r:embed="rIdImg27"/>
                    <a:stretch>
                      <a:fillRect/>
                    </a:stretch>
                  </pic:blipFill>
                  <pic:spPr>
                    <a:xfrm>
                      <a:off x="0" y="0"/>
                      <a:ext cx="5760720" cy="4220835"/>
                    </a:xfrm>
                    <a:prstGeom prst="rect">
                      <a:avLst/>
                    </a:prstGeom>
                  </pic:spPr>
                </pic:pic>
              </a:graphicData>
            </a:graphic>
          </wp:inline>
        </w:drawing>
      </w:r>
    </w:p>
    <w:p>
      <w:pPr>
        <w:pStyle w:val="Heading3"/>
      </w:pPr>
      <w:r>
        <w:t xml:space="preserve">Figure 10D. Gene-normalized evidence action groups per 1000 VUS</w:t>
      </w:r>
    </w:p>
    <w:p>
      <w:pPr>
        <w:jc w:val="center"/>
      </w:pPr>
      <w:r>
        <w:drawing>
          <wp:inline distT="0" distB="0" distL="0" distR="0">
            <wp:extent cx="5760720" cy="4220835"/>
            <wp:effectExtent l="0" t="0" r="0" b="0"/>
            <wp:docPr id="128" name="gene_normalized_evidence_action_groups_per_1000_vus.svg"/>
            <wp:cNvGraphicFramePr>
              <a:graphicFrameLocks noChangeAspect="1"/>
            </wp:cNvGraphicFramePr>
            <a:graphic>
              <a:graphicData uri="http://schemas.openxmlformats.org/drawingml/2006/picture">
                <pic:pic>
                  <pic:nvPicPr>
                    <pic:cNvPr id="128" name="gene_normalized_evidence_action_groups_per_1000_vus.svg"/>
                    <pic:cNvPicPr/>
                  </pic:nvPicPr>
                  <pic:blipFill>
                    <a:blip r:embed="rIdImg28"/>
                    <a:stretch>
                      <a:fillRect/>
                    </a:stretch>
                  </pic:blipFill>
                  <pic:spPr>
                    <a:xfrm>
                      <a:off x="0" y="0"/>
                      <a:ext cx="5760720" cy="4220835"/>
                    </a:xfrm>
                    <a:prstGeom prst="rect">
                      <a:avLst/>
                    </a:prstGeom>
                  </pic:spPr>
                </pic:pic>
              </a:graphicData>
            </a:graphic>
          </wp:inline>
        </w:drawing>
      </w:r>
    </w:p>
    <w:p>
      <w:pPr>
        <w:pStyle w:val="Heading3"/>
      </w:pPr>
      <w:r>
        <w:t xml:space="preserve">Figure 11A. BRCA1 binned SpliceAI and boundary context</w:t>
      </w:r>
    </w:p>
    <w:p>
      <w:pPr>
        <w:jc w:val="center"/>
      </w:pPr>
      <w:r>
        <w:drawing>
          <wp:inline distT="0" distB="0" distL="0" distR="0">
            <wp:extent cx="5760720" cy="1237371"/>
            <wp:effectExtent l="0" t="0" r="0" b="0"/>
            <wp:docPr id="129" name="brca1_boundary_spliceai_binned_heatmap.svg"/>
            <wp:cNvGraphicFramePr>
              <a:graphicFrameLocks noChangeAspect="1"/>
            </wp:cNvGraphicFramePr>
            <a:graphic>
              <a:graphicData uri="http://schemas.openxmlformats.org/drawingml/2006/picture">
                <pic:pic>
                  <pic:nvPicPr>
                    <pic:cNvPr id="129" name="brca1_boundary_spliceai_binned_heatmap.svg"/>
                    <pic:cNvPicPr/>
                  </pic:nvPicPr>
                  <pic:blipFill>
                    <a:blip r:embed="rIdImg29"/>
                    <a:stretch>
                      <a:fillRect/>
                    </a:stretch>
                  </pic:blipFill>
                  <pic:spPr>
                    <a:xfrm>
                      <a:off x="0" y="0"/>
                      <a:ext cx="5760720" cy="1237371"/>
                    </a:xfrm>
                    <a:prstGeom prst="rect">
                      <a:avLst/>
                    </a:prstGeom>
                  </pic:spPr>
                </pic:pic>
              </a:graphicData>
            </a:graphic>
          </wp:inline>
        </w:drawing>
      </w:r>
    </w:p>
    <w:p>
      <w:pPr>
        <w:pStyle w:val="Heading3"/>
      </w:pPr>
      <w:r>
        <w:t xml:space="preserve">Figure 11B. BRCA2 binned SpliceAI and boundary context</w:t>
      </w:r>
    </w:p>
    <w:p>
      <w:pPr>
        <w:jc w:val="center"/>
      </w:pPr>
      <w:r>
        <w:drawing>
          <wp:inline distT="0" distB="0" distL="0" distR="0">
            <wp:extent cx="5760720" cy="1237371"/>
            <wp:effectExtent l="0" t="0" r="0" b="0"/>
            <wp:docPr id="130" name="brca2_boundary_spliceai_binned_heatmap.svg"/>
            <wp:cNvGraphicFramePr>
              <a:graphicFrameLocks noChangeAspect="1"/>
            </wp:cNvGraphicFramePr>
            <a:graphic>
              <a:graphicData uri="http://schemas.openxmlformats.org/drawingml/2006/picture">
                <pic:pic>
                  <pic:nvPicPr>
                    <pic:cNvPr id="130" name="brca2_boundary_spliceai_binned_heatmap.svg"/>
                    <pic:cNvPicPr/>
                  </pic:nvPicPr>
                  <pic:blipFill>
                    <a:blip r:embed="rIdImg30"/>
                    <a:stretch>
                      <a:fillRect/>
                    </a:stretch>
                  </pic:blipFill>
                  <pic:spPr>
                    <a:xfrm>
                      <a:off x="0" y="0"/>
                      <a:ext cx="5760720" cy="1237371"/>
                    </a:xfrm>
                    <a:prstGeom prst="rect">
                      <a:avLst/>
                    </a:prstGeom>
                  </pic:spPr>
                </pic:pic>
              </a:graphicData>
            </a:graphic>
          </wp:inline>
        </w:drawing>
      </w:r>
    </w:p>
    <w:p>
      <w:pPr>
        <w:pStyle w:val="Heading3"/>
      </w:pPr>
      <w:r>
        <w:t xml:space="preserve">Figure 11C. Gene-normalized SpliceAI high-rate by boundary and group</w:t>
      </w:r>
    </w:p>
    <w:p>
      <w:pPr>
        <w:jc w:val="center"/>
      </w:pPr>
      <w:r>
        <w:drawing>
          <wp:inline distT="0" distB="0" distL="0" distR="0">
            <wp:extent cx="5760720" cy="2671301"/>
            <wp:effectExtent l="0" t="0" r="0" b="0"/>
            <wp:docPr id="131" name="gene_normalized_spliceai_high_rate_by_boundary_group_heatmap.svg"/>
            <wp:cNvGraphicFramePr>
              <a:graphicFrameLocks noChangeAspect="1"/>
            </wp:cNvGraphicFramePr>
            <a:graphic>
              <a:graphicData uri="http://schemas.openxmlformats.org/drawingml/2006/picture">
                <pic:pic>
                  <pic:nvPicPr>
                    <pic:cNvPr id="131" name="gene_normalized_spliceai_high_rate_by_boundary_group_heatmap.svg"/>
                    <pic:cNvPicPr/>
                  </pic:nvPicPr>
                  <pic:blipFill>
                    <a:blip r:embed="rIdImg31"/>
                    <a:stretch>
                      <a:fillRect/>
                    </a:stretch>
                  </pic:blipFill>
                  <pic:spPr>
                    <a:xfrm>
                      <a:off x="0" y="0"/>
                      <a:ext cx="5760720" cy="2671301"/>
                    </a:xfrm>
                    <a:prstGeom prst="rect">
                      <a:avLst/>
                    </a:prstGeom>
                  </pic:spPr>
                </pic:pic>
              </a:graphicData>
            </a:graphic>
          </wp:inline>
        </w:drawing>
      </w:r>
    </w:p>
    <w:p>
      <w:pPr>
        <w:pStyle w:val="Heading3"/>
      </w:pPr>
      <w:r>
        <w:t xml:space="preserve">Figure 11D. Gene-normalized boundary distribution by group</w:t>
      </w:r>
    </w:p>
    <w:p>
      <w:pPr>
        <w:jc w:val="center"/>
      </w:pPr>
      <w:r>
        <w:drawing>
          <wp:inline distT="0" distB="0" distL="0" distR="0">
            <wp:extent cx="5760720" cy="2671301"/>
            <wp:effectExtent l="0" t="0" r="0" b="0"/>
            <wp:docPr id="132" name="gene_normalized_boundary_distribution_by_group_heatmap.svg"/>
            <wp:cNvGraphicFramePr>
              <a:graphicFrameLocks noChangeAspect="1"/>
            </wp:cNvGraphicFramePr>
            <a:graphic>
              <a:graphicData uri="http://schemas.openxmlformats.org/drawingml/2006/picture">
                <pic:pic>
                  <pic:nvPicPr>
                    <pic:cNvPr id="132" name="gene_normalized_boundary_distribution_by_group_heatmap.svg"/>
                    <pic:cNvPicPr/>
                  </pic:nvPicPr>
                  <pic:blipFill>
                    <a:blip r:embed="rIdImg32"/>
                    <a:stretch>
                      <a:fillRect/>
                    </a:stretch>
                  </pic:blipFill>
                  <pic:spPr>
                    <a:xfrm>
                      <a:off x="0" y="0"/>
                      <a:ext cx="5760720" cy="2671301"/>
                    </a:xfrm>
                    <a:prstGeom prst="rect">
                      <a:avLst/>
                    </a:prstGeom>
                  </pic:spPr>
                </pic:pic>
              </a:graphicData>
            </a:graphic>
          </wp:inline>
        </w:drawing>
      </w:r>
    </w:p>
    <w:sectPr>
      <w:pgSz w:w="12240" w:h="15840"/>
      <w:pgMar w:top="1080" w:right="900" w:bottom="1080" w:left="900" w:header="720" w:footer="720" w:gutter="0"/>
    </w:sectPr>
  </w:body>
</w:document>
</file>

<file path=word/styles.xml><?xml version="1.0" encoding="utf-8"?>
<w:styles xmlns:w="http://schemas.openxmlformats.org/wordprocessingml/2006/main">
  <w:style w:type="paragraph" w:default="1" w:styleId="Normal">
    <w:name w:val="Normal"/>
    <w:qFormat/>
    <w:rPr>
      <w:sz w:val="22"/>
      <w:szCs w:val="22"/>
    </w:rPr>
  </w:style>
  <w:style w:type="paragraph" w:styleId="Title">
    <w:name w:val="Title"/>
    <w:qFormat/>
    <w:rPr>
      <w:b/>
      <w:sz w:val="34"/>
    </w:rPr>
  </w:style>
  <w:style w:type="paragraph" w:styleId="Heading2">
    <w:name w:val="heading 2"/>
    <w:qFormat/>
    <w:rPr>
      <w:b/>
      <w:sz w:val="28"/>
    </w:rPr>
  </w:style>
  <w:style w:type="paragraph" w:styleId="Heading3">
    <w:name w:val="heading 3"/>
    <w:qFormat/>
    <w:rPr>
      <w:b/>
      <w:sz w:val="24"/>
    </w:rPr>
  </w:style>
  <w:style w:type="paragraph" w:styleId="ListBullet">
    <w:name w:val="List Bullet"/>
    <w:qFormat/>
  </w:style>
  <w:style w:type="paragraph" w:styleId="ListNumber">
    <w:name w:val="List Number"/>
    <w:qFormat/>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Img1" Type="http://schemas.openxmlformats.org/officeDocument/2006/relationships/image" Target="media/vus_priority_score_histogram.svg"/><Relationship Id="rIdImg2" Type="http://schemas.openxmlformats.org/officeDocument/2006/relationships/image" Target="media/vus_priority_reason_counts.svg"/><Relationship Id="rIdImg3" Type="http://schemas.openxmlformats.org/officeDocument/2006/relationships/image" Target="media/neighborhood_increment_summary.svg"/><Relationship Id="rIdImg4" Type="http://schemas.openxmlformats.org/officeDocument/2006/relationships/image" Target="media/tier_transition_without_neighborhood.svg"/><Relationship Id="rIdImg5" Type="http://schemas.openxmlformats.org/officeDocument/2006/relationships/image" Target="media/vus_pathogenic_region_summary.svg"/><Relationship Id="rIdImg6" Type="http://schemas.openxmlformats.org/officeDocument/2006/relationships/image" Target="media/vus_pathogenic_vs_benign_neighborhood_20bp.svg"/><Relationship Id="rIdImg7" Type="http://schemas.openxmlformats.org/officeDocument/2006/relationships/image" Target="media/brca1_brct1_mixed_cluster_class_profile.svg"/><Relationship Id="rIdImg8" Type="http://schemas.openxmlformats.org/officeDocument/2006/relationships/image" Target="media/position_is_not_variant_context_is_not_evidence.svg"/><Relationship Id="rIdImg9" Type="http://schemas.openxmlformats.org/officeDocument/2006/relationships/image" Target="media/regional_signal_categories.svg"/><Relationship Id="rIdImg10" Type="http://schemas.openxmlformats.org/officeDocument/2006/relationships/image" Target="media/pathogenic_fraction_driver_ablation.svg"/><Relationship Id="rIdImg11" Type="http://schemas.openxmlformats.org/officeDocument/2006/relationships/image" Target="media/brca1_regional_driver_tracks.svg"/><Relationship Id="rIdImg12" Type="http://schemas.openxmlformats.org/officeDocument/2006/relationships/image" Target="media/brca2_regional_driver_tracks.svg"/><Relationship Id="rIdImg13" Type="http://schemas.openxmlformats.org/officeDocument/2006/relationships/image" Target="media/variant_type_grouped_class_stacked.svg"/><Relationship Id="rIdImg14" Type="http://schemas.openxmlformats.org/officeDocument/2006/relationships/image" Target="media/splice_driver_vs_pathogenic_fraction.svg"/><Relationship Id="rIdImg15" Type="http://schemas.openxmlformats.org/officeDocument/2006/relationships/image" Target="media/functional_driver_vs_pathogenic_fraction.svg"/><Relationship Id="rIdImg16" Type="http://schemas.openxmlformats.org/officeDocument/2006/relationships/image" Target="media/mixed_position_codon_driver_ablation.svg"/><Relationship Id="rIdImg17" Type="http://schemas.openxmlformats.org/officeDocument/2006/relationships/image" Target="media/vus_bottleneck_categories.svg"/><Relationship Id="rIdImg18" Type="http://schemas.openxmlformats.org/officeDocument/2006/relationships/image" Target="media/benign_vs_pathogenic_feature_comparison.svg"/><Relationship Id="rIdImg19" Type="http://schemas.openxmlformats.org/officeDocument/2006/relationships/image" Target="media/tier_summary.svg"/><Relationship Id="rIdImg20" Type="http://schemas.openxmlformats.org/officeDocument/2006/relationships/image" Target="media/domain_mechanism_stacked.svg"/><Relationship Id="rIdImg21" Type="http://schemas.openxmlformats.org/officeDocument/2006/relationships/image" Target="media/findlay_sge_score_by_priority_tier.svg"/><Relationship Id="rIdImg22" Type="http://schemas.openxmlformats.org/officeDocument/2006/relationships/image" Target="media/vus_evidence_action_groups.svg"/><Relationship Id="rIdImg23" Type="http://schemas.openxmlformats.org/officeDocument/2006/relationships/image" Target="media/priority_queue_counts.svg"/><Relationship Id="rIdImg24" Type="http://schemas.openxmlformats.org/officeDocument/2006/relationships/image" Target="media/priority_queue_overlap.svg"/><Relationship Id="rIdImg25" Type="http://schemas.openxmlformats.org/officeDocument/2006/relationships/image" Target="media/gene_normalized_grouped_class_distribution_heatmap.svg"/><Relationship Id="rIdImg26" Type="http://schemas.openxmlformats.org/officeDocument/2006/relationships/image" Target="media/gene_normalized_criteria_rate_heatmap.svg"/><Relationship Id="rIdImg27" Type="http://schemas.openxmlformats.org/officeDocument/2006/relationships/image" Target="media/gene_normalized_priority_queues_per_1000_vus.svg"/><Relationship Id="rIdImg28" Type="http://schemas.openxmlformats.org/officeDocument/2006/relationships/image" Target="media/gene_normalized_evidence_action_groups_per_1000_vus.svg"/><Relationship Id="rIdImg29" Type="http://schemas.openxmlformats.org/officeDocument/2006/relationships/image" Target="media/brca1_boundary_spliceai_binned_heatmap.svg"/><Relationship Id="rIdImg30" Type="http://schemas.openxmlformats.org/officeDocument/2006/relationships/image" Target="media/brca2_boundary_spliceai_binned_heatmap.svg"/><Relationship Id="rIdImg31" Type="http://schemas.openxmlformats.org/officeDocument/2006/relationships/image" Target="media/gene_normalized_spliceai_high_rate_by_boundary_group_heatmap.svg"/><Relationship Id="rIdImg32" Type="http://schemas.openxmlformats.org/officeDocument/2006/relationships/image" Target="media/gene_normalized_boundary_distribution_by_group_heatmap.svg"/></Relationships>
</file>