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Module 1 VUS Evidence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these plots show why variants remain VUS under the automated Module 1 rules. They are evidence-pattern groups, not an independent prioritization criterion and not a validated list of variants that must be manually reviewed. The main use is to separate low-information VUS, one-evidence-item-short combinations, computational-only signals, and conflicting evidence patterns.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plots/03_boundary_spliceai/brca1_boundary_spliceai_binned_heatmap.svg</w:t>
      </w:r>
    </w:p>
    <w:p>
      <w:pPr>
        <w:pStyle w:val="ListBullet"/>
        <w:ind w:left="720" w:hanging="360"/>
      </w:pPr>
      <w:r>
        <w:t xml:space="preserve">plots/03_boundary_spliceai/brca2_boundary_spliceai_binned_heatmap.svg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primary visualization is a binned heatmap: boundary-distance bins on the x-axis, SpliceAI score bins on the y-axis, and separate panels for generated benign, VUS, and pathogenic groups. Each tile shows the percent of variants within that generated class group. This makes the enrichment pattern readable without overplotting. The normalized heatmaps then compare BRCA1 and BRCA2 using within-gene and within-group rates. This avoids mistaking the larger BRCA2 VUS count for a directly comparable biological signal.</w:t>
      </w:r>
    </w:p>
    <w:p>
      <w:pPr>
        <w:pStyle w:val="Heading3"/>
      </w:pPr>
      <w:r>
        <w:t xml:space="preserve">Figure 12: Exon-Level Module 1 Audit</w:t>
      </w:r>
    </w:p>
    <w:p>
      <w:r>
        <w:t xml:space="preserve">Suggested source files:</w:t>
      </w:r>
    </w:p>
    <w:p>
      <w:pPr>
        <w:pStyle w:val="ListBullet"/>
        <w:ind w:left="720" w:hanging="360"/>
      </w:pPr>
      <w:r>
        <w:t xml:space="preserve">plots/06_exon_vus_conflict/brca1_exon_group_heatmap.svg</w:t>
      </w:r>
    </w:p>
    <w:p>
      <w:pPr>
        <w:pStyle w:val="ListBullet"/>
        <w:ind w:left="720" w:hanging="360"/>
      </w:pPr>
      <w:r>
        <w:t xml:space="preserve">plots/06_exon_vus_conflict/brca2_exon_group_heatmap.svg</w:t>
      </w:r>
    </w:p>
    <w:p>
      <w:pPr>
        <w:pStyle w:val="ListBullet"/>
        <w:ind w:left="720" w:hanging="360"/>
      </w:pPr>
      <w:r>
        <w:t xml:space="preserve">plots/06_exon_vus_conflict/brca1_exon_signal_heatmap.svg</w:t>
      </w:r>
    </w:p>
    <w:p>
      <w:pPr>
        <w:pStyle w:val="ListBullet"/>
        <w:ind w:left="720" w:hanging="360"/>
      </w:pPr>
      <w:r>
        <w:t xml:space="preserve">plots/06_exon_vus_conflict/brca2_exon_signal_heatmap.svg</w:t>
      </w:r>
    </w:p>
    <w:p>
      <w:pPr>
        <w:pStyle w:val="ListBullet"/>
        <w:ind w:left="720" w:hanging="360"/>
      </w:pPr>
      <w:r>
        <w:t xml:space="preserve">plots/06_exon_vus_conflict/conflict_sanity_check_patterns.svg</w:t>
      </w:r>
    </w:p>
    <w:p>
      <w:pPr>
        <w:pStyle w:val="ListBullet"/>
        <w:ind w:left="720" w:hanging="360"/>
      </w:pPr>
      <w:r>
        <w:t xml:space="preserve">plots/06_exon_vus_conflict/heuristic_vus_score_examples.svg</w:t>
      </w:r>
    </w:p>
    <w:p>
      <w:r>
        <w:t xml:space="preserve">Message: this figure group is a descriptive exon-level audit of the generated Module 1 map. It shows class mix by exon, selected Module 1 signals by exon, and sanity-check patterns that require cautious interpretation. The heuristic VUS score examples are not a validated manual-review priority criterion and should not be presented as a clinical action list.</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Module 1 VUS evidence bottlenecks</w:t>
      </w:r>
    </w:p>
    <w:p>
      <w:pPr>
        <w:jc w:val="center"/>
      </w:pPr>
      <w:r>
        <w:drawing>
          <wp:inline distT="0" distB="0" distL="0" distR="0">
            <wp:extent cx="5760720" cy="2157829"/>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157829"/>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binned SpliceAI and boundary context</w:t>
      </w:r>
    </w:p>
    <w:p>
      <w:pPr>
        <w:jc w:val="center"/>
      </w:pPr>
      <w:r>
        <w:drawing>
          <wp:inline distT="0" distB="0" distL="0" distR="0">
            <wp:extent cx="5760720" cy="1237371"/>
            <wp:effectExtent l="0" t="0" r="0" b="0"/>
            <wp:docPr id="129" name="brca1_boundary_spliceai_binned_heatmap.svg"/>
            <wp:cNvGraphicFramePr>
              <a:graphicFrameLocks noChangeAspect="1"/>
            </wp:cNvGraphicFramePr>
            <a:graphic>
              <a:graphicData uri="http://schemas.openxmlformats.org/drawingml/2006/picture">
                <pic:pic>
                  <pic:nvPicPr>
                    <pic:cNvPr id="129" name="brca1_boundary_spliceai_binned_heatmap.svg"/>
                    <pic:cNvPicPr/>
                  </pic:nvPicPr>
                  <pic:blipFill>
                    <a:blip r:embed="rIdImg29"/>
                    <a:stretch>
                      <a:fillRect/>
                    </a:stretch>
                  </pic:blipFill>
                  <pic:spPr>
                    <a:xfrm>
                      <a:off x="0" y="0"/>
                      <a:ext cx="5760720" cy="1237371"/>
                    </a:xfrm>
                    <a:prstGeom prst="rect">
                      <a:avLst/>
                    </a:prstGeom>
                  </pic:spPr>
                </pic:pic>
              </a:graphicData>
            </a:graphic>
          </wp:inline>
        </w:drawing>
      </w:r>
    </w:p>
    <w:p>
      <w:pPr>
        <w:pStyle w:val="Heading3"/>
      </w:pPr>
      <w:r>
        <w:t xml:space="preserve">Figure 11B. BRCA2 binned SpliceAI and boundary context</w:t>
      </w:r>
    </w:p>
    <w:p>
      <w:pPr>
        <w:jc w:val="center"/>
      </w:pPr>
      <w:r>
        <w:drawing>
          <wp:inline distT="0" distB="0" distL="0" distR="0">
            <wp:extent cx="5760720" cy="1237371"/>
            <wp:effectExtent l="0" t="0" r="0" b="0"/>
            <wp:docPr id="130" name="brca2_boundary_spliceai_binned_heatmap.svg"/>
            <wp:cNvGraphicFramePr>
              <a:graphicFrameLocks noChangeAspect="1"/>
            </wp:cNvGraphicFramePr>
            <a:graphic>
              <a:graphicData uri="http://schemas.openxmlformats.org/drawingml/2006/picture">
                <pic:pic>
                  <pic:nvPicPr>
                    <pic:cNvPr id="130" name="brca2_boundary_spliceai_binned_heatmap.svg"/>
                    <pic:cNvPicPr/>
                  </pic:nvPicPr>
                  <pic:blipFill>
                    <a:blip r:embed="rIdImg30"/>
                    <a:stretch>
                      <a:fillRect/>
                    </a:stretch>
                  </pic:blipFill>
                  <pic:spPr>
                    <a:xfrm>
                      <a:off x="0" y="0"/>
                      <a:ext cx="5760720" cy="1237371"/>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p>
      <w:pPr>
        <w:pStyle w:val="Heading3"/>
      </w:pPr>
      <w:r>
        <w:t xml:space="preserve">Figure 12A. BRCA1 exon-level Module 1 signals</w:t>
      </w:r>
    </w:p>
    <w:p>
      <w:pPr>
        <w:jc w:val="center"/>
      </w:pPr>
      <w:r>
        <w:drawing>
          <wp:inline distT="0" distB="0" distL="0" distR="0">
            <wp:extent cx="5760720" cy="2634840"/>
            <wp:effectExtent l="0" t="0" r="0" b="0"/>
            <wp:docPr id="133" name="brca1_exon_signal_heatmap.svg"/>
            <wp:cNvGraphicFramePr>
              <a:graphicFrameLocks noChangeAspect="1"/>
            </wp:cNvGraphicFramePr>
            <a:graphic>
              <a:graphicData uri="http://schemas.openxmlformats.org/drawingml/2006/picture">
                <pic:pic>
                  <pic:nvPicPr>
                    <pic:cNvPr id="133" name="brca1_exon_signal_heatmap.svg"/>
                    <pic:cNvPicPr/>
                  </pic:nvPicPr>
                  <pic:blipFill>
                    <a:blip r:embed="rIdImg33"/>
                    <a:stretch>
                      <a:fillRect/>
                    </a:stretch>
                  </pic:blipFill>
                  <pic:spPr>
                    <a:xfrm>
                      <a:off x="0" y="0"/>
                      <a:ext cx="5760720" cy="2634840"/>
                    </a:xfrm>
                    <a:prstGeom prst="rect">
                      <a:avLst/>
                    </a:prstGeom>
                  </pic:spPr>
                </pic:pic>
              </a:graphicData>
            </a:graphic>
          </wp:inline>
        </w:drawing>
      </w:r>
    </w:p>
    <w:p>
      <w:pPr>
        <w:pStyle w:val="Heading3"/>
      </w:pPr>
      <w:r>
        <w:t xml:space="preserve">Figure 12B. BRCA2 exon-level Module 1 signals</w:t>
      </w:r>
    </w:p>
    <w:p>
      <w:pPr>
        <w:jc w:val="center"/>
      </w:pPr>
      <w:r>
        <w:drawing>
          <wp:inline distT="0" distB="0" distL="0" distR="0">
            <wp:extent cx="5760720" cy="2325428"/>
            <wp:effectExtent l="0" t="0" r="0" b="0"/>
            <wp:docPr id="134" name="brca2_exon_signal_heatmap.svg"/>
            <wp:cNvGraphicFramePr>
              <a:graphicFrameLocks noChangeAspect="1"/>
            </wp:cNvGraphicFramePr>
            <a:graphic>
              <a:graphicData uri="http://schemas.openxmlformats.org/drawingml/2006/picture">
                <pic:pic>
                  <pic:nvPicPr>
                    <pic:cNvPr id="134" name="brca2_exon_signal_heatmap.svg"/>
                    <pic:cNvPicPr/>
                  </pic:nvPicPr>
                  <pic:blipFill>
                    <a:blip r:embed="rIdImg34"/>
                    <a:stretch>
                      <a:fillRect/>
                    </a:stretch>
                  </pic:blipFill>
                  <pic:spPr>
                    <a:xfrm>
                      <a:off x="0" y="0"/>
                      <a:ext cx="5760720" cy="2325428"/>
                    </a:xfrm>
                    <a:prstGeom prst="rect">
                      <a:avLst/>
                    </a:prstGeom>
                  </pic:spPr>
                </pic:pic>
              </a:graphicData>
            </a:graphic>
          </wp:inline>
        </w:drawing>
      </w:r>
    </w:p>
    <w:p>
      <w:pPr>
        <w:pStyle w:val="Heading3"/>
      </w:pPr>
      <w:r>
        <w:t xml:space="preserve">Figure 12C. Conflict sanity-check patterns</w:t>
      </w:r>
    </w:p>
    <w:p>
      <w:pPr>
        <w:jc w:val="center"/>
      </w:pPr>
      <w:r>
        <w:drawing>
          <wp:inline distT="0" distB="0" distL="0" distR="0">
            <wp:extent cx="5760720" cy="2045643"/>
            <wp:effectExtent l="0" t="0" r="0" b="0"/>
            <wp:docPr id="135" name="conflict_sanity_check_patterns.svg"/>
            <wp:cNvGraphicFramePr>
              <a:graphicFrameLocks noChangeAspect="1"/>
            </wp:cNvGraphicFramePr>
            <a:graphic>
              <a:graphicData uri="http://schemas.openxmlformats.org/drawingml/2006/picture">
                <pic:pic>
                  <pic:nvPicPr>
                    <pic:cNvPr id="135" name="conflict_sanity_check_patterns.svg"/>
                    <pic:cNvPicPr/>
                  </pic:nvPicPr>
                  <pic:blipFill>
                    <a:blip r:embed="rIdImg35"/>
                    <a:stretch>
                      <a:fillRect/>
                    </a:stretch>
                  </pic:blipFill>
                  <pic:spPr>
                    <a:xfrm>
                      <a:off x="0" y="0"/>
                      <a:ext cx="5760720" cy="2045643"/>
                    </a:xfrm>
                    <a:prstGeom prst="rect">
                      <a:avLst/>
                    </a:prstGeom>
                  </pic:spPr>
                </pic:pic>
              </a:graphicData>
            </a:graphic>
          </wp:inline>
        </w:drawing>
      </w:r>
    </w:p>
    <w:p>
      <w:pPr>
        <w:pStyle w:val="Heading3"/>
      </w:pPr>
      <w:r>
        <w:t xml:space="preserve">Figure 12D. Highest heuristic VUS score examples</w:t>
      </w:r>
    </w:p>
    <w:p>
      <w:pPr>
        <w:jc w:val="center"/>
      </w:pPr>
      <w:r>
        <w:drawing>
          <wp:inline distT="0" distB="0" distL="0" distR="0">
            <wp:extent cx="5760720" cy="4440991"/>
            <wp:effectExtent l="0" t="0" r="0" b="0"/>
            <wp:docPr id="136" name="heuristic_vus_score_examples.svg"/>
            <wp:cNvGraphicFramePr>
              <a:graphicFrameLocks noChangeAspect="1"/>
            </wp:cNvGraphicFramePr>
            <a:graphic>
              <a:graphicData uri="http://schemas.openxmlformats.org/drawingml/2006/picture">
                <pic:pic>
                  <pic:nvPicPr>
                    <pic:cNvPr id="136" name="heuristic_vus_score_examples.svg"/>
                    <pic:cNvPicPr/>
                  </pic:nvPicPr>
                  <pic:blipFill>
                    <a:blip r:embed="rIdImg36"/>
                    <a:stretch>
                      <a:fillRect/>
                    </a:stretch>
                  </pic:blipFill>
                  <pic:spPr>
                    <a:xfrm>
                      <a:off x="0" y="0"/>
                      <a:ext cx="5760720" cy="4440991"/>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boundary_spliceai_binned_heatmap.svg"/><Relationship Id="rIdImg30" Type="http://schemas.openxmlformats.org/officeDocument/2006/relationships/image" Target="media/brca2_boundary_spliceai_binned_heatmap.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 Id="rIdImg33" Type="http://schemas.openxmlformats.org/officeDocument/2006/relationships/image" Target="media/brca1_exon_signal_heatmap.svg"/><Relationship Id="rIdImg34" Type="http://schemas.openxmlformats.org/officeDocument/2006/relationships/image" Target="media/brca2_exon_signal_heatmap.svg"/><Relationship Id="rIdImg35" Type="http://schemas.openxmlformats.org/officeDocument/2006/relationships/image" Target="media/conflict_sanity_check_patterns.svg"/><Relationship Id="rIdImg36" Type="http://schemas.openxmlformats.org/officeDocument/2006/relationships/image" Target="media/heuristic_vus_score_examples.svg"/></Relationships>
</file>