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D293D"/>
          <w:sz w:val="28"/>
        </w:rPr>
        <w:t>HOSPITAL UNIVERSITARIO DEL VALLE</w:t>
      </w:r>
    </w:p>
    <w:p>
      <w:pPr>
        <w:jc w:val="center"/>
      </w:pPr>
      <w:r>
        <w:rPr>
          <w:color w:val="374751"/>
          <w:sz w:val="22"/>
        </w:rPr>
        <w:t>EVA — Sistema de Gestión de Equipos Médicos e Industriales</w:t>
      </w:r>
    </w:p>
    <w:p/>
    <w:p/>
    <w:p>
      <w:pPr>
        <w:jc w:val="center"/>
      </w:pPr>
      <w:r>
        <w:rPr>
          <w:b/>
          <w:color w:val="1D6FBF"/>
          <w:sz w:val="40"/>
        </w:rPr>
        <w:t>CREDENCIALES Y CONFIGURACIÓN</w:t>
      </w:r>
    </w:p>
    <w:p>
      <w:pPr>
        <w:jc w:val="center"/>
      </w:pPr>
      <w:r>
        <w:rPr>
          <w:color w:val="374751"/>
          <w:sz w:val="24"/>
        </w:rPr>
        <w:t>Configuración del entorno y acceso al sistema</w:t>
      </w:r>
    </w:p>
    <w:p/>
    <w:p>
      <w:pPr>
        <w:jc w:val="center"/>
      </w:pPr>
      <w:r>
        <w:rPr>
          <w:i/>
          <w:color w:val="374751"/>
          <w:sz w:val="20"/>
        </w:rPr>
        <w:t>Versión 2.0.0  |  Mayo 2026</w:t>
      </w:r>
    </w:p>
    <w:p>
      <w:r>
        <w:br w:type="page"/>
      </w:r>
    </w:p>
    <w:p>
      <w:pPr>
        <w:pStyle w:val="Heading1"/>
      </w:pPr>
      <w:r>
        <w:rPr>
          <w:color w:val="1D6FBF"/>
        </w:rPr>
        <w:t>1. URLs del Sistema en Producción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669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Frontend (aplicación web)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http://eva2.huv.gov.co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Backend / API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http://api.eva2.huv.gov.co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API base path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http://api.eva2.huv.gov.co/api/v1/</w:t>
            </w:r>
          </w:p>
        </w:tc>
      </w:tr>
    </w:tbl>
    <w:p/>
    <w:p>
      <w:pPr>
        <w:pStyle w:val="Heading1"/>
      </w:pPr>
      <w:r>
        <w:rPr>
          <w:color w:val="1D6FBF"/>
        </w:rPr>
        <w:t>2. Variables de Entorno — Backend (.env)</w:t>
      </w:r>
    </w:p>
    <w:p>
      <w:r>
        <w:t xml:space="preserve">Archivo ubicado en </w:t>
      </w:r>
      <w:r>
        <w:rPr>
          <w:b/>
        </w:rPr>
        <w:t>eva-backend/.env</w:t>
      </w:r>
      <w:r>
        <w:rPr>
          <w:sz w:val="20"/>
        </w:rPr>
        <w:t>. Las variables críticas son: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51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APP_NAME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18"/>
              </w:rPr>
              <w:t>"EVA - Sistema de Gestión de Equipos"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APP_ENV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  <w:t>production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APP_DEBUG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18"/>
              </w:rPr>
              <w:t>false  ← Cambiar a false en producción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APP_URL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  <w:t>http://api.eva2.huv.gov.co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APP_TIMEZONE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18"/>
              </w:rPr>
              <w:t>America/Bogota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DB_CONNECTION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  <w:t>mysql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DB_HOST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18"/>
              </w:rPr>
              <w:t>127.0.0.1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DB_PORT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  <w:t>3306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DB_DATABASE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18"/>
              </w:rPr>
              <w:t>gestionthuv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DB_USERNAME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  <w:t>root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DB_PASSWORD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18"/>
              </w:rPr>
              <w:t>&lt;contraseña_db&gt;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SANCTUM_STATEFUL_DOMAINS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  <w:t>eva2.huv.gov.co,api.eva2.huv.gov.co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CORS_ALLOWED_ORIGINS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18"/>
              </w:rPr>
              <w:t>http://eva2.huv.gov.co,http://api.eva2.huv.gov.co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SESSION_LIFETIME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18"/>
              </w:rPr>
              <w:t>SESSION_DOMAIN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18"/>
              </w:rPr>
              <w:t>.eva2.huv.gov.co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3CD"/>
          </w:tcPr>
          <w:p>
            <w:r>
              <w:rPr>
                <w:i/>
                <w:sz w:val="18"/>
              </w:rPr>
              <w:t>⚠  IMPORTANTE: Nunca compartir APP_KEY ni contraseñas de BD en repositorios de código.</w:t>
            </w:r>
          </w:p>
        </w:tc>
      </w:tr>
    </w:tbl>
    <w:p/>
    <w:p>
      <w:pPr>
        <w:pStyle w:val="Heading1"/>
      </w:pPr>
      <w:r>
        <w:rPr>
          <w:color w:val="1D6FBF"/>
        </w:rPr>
        <w:t>3. Base de Datos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5669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Motor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MySQL 8.x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Nombre BD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gestionthuv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Host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127.0.0.1 (localhost)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Puerto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3306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Colación recomendada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utf8mb4_unicode_ci</w:t>
            </w:r>
          </w:p>
        </w:tc>
      </w:tr>
    </w:tbl>
    <w:p/>
    <w:p>
      <w:pPr>
        <w:pStyle w:val="Heading2"/>
      </w:pPr>
      <w:r>
        <w:rPr>
          <w:color w:val="1D293D"/>
        </w:rPr>
        <w:t>4. Tablas Principales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5669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Usuarios del sistema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roles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Roles (superadmin, admin, avanzado, normal)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permisos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Permisos CRUD por módulo y usuario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equipos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Inventario de equipos (biomédicos e industriales)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servicios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Servicios/dependencias del hospital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areas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Áreas dentro de cada servicio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centros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Centros de costo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correctivos_generales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Órdenes de trabajo / tickets correctivos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planes_mantenimientos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Plan anual de mantenimiento preventivo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calibraciones_ind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Registros de calibración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contingencias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Equipos en contingencia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repuestos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Inventario de repuestos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periodos_garantias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Catálogo de períodos de garantía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frecuenciam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Frecuencias de mantenimiento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vigencias_mantenimiento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Año/vigencia activa de mantenimiento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propietarios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Propietarios/instituciones de los equipos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sedes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Sedes del hospital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empresas_mantenimiento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Empresas de mantenimiento externo</w:t>
            </w:r>
          </w:p>
        </w:tc>
      </w:tr>
    </w:tbl>
    <w:p/>
    <w:p>
      <w:pPr>
        <w:pStyle w:val="Heading1"/>
      </w:pPr>
      <w:r>
        <w:rPr>
          <w:color w:val="1D6FBF"/>
        </w:rPr>
        <w:t>5. Roles de Usuario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rol_id</w:t>
            </w:r>
          </w:p>
        </w:tc>
        <w:tc>
          <w:tcPr>
            <w:tcW w:type="dxa" w:w="2268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5669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Acceso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Super Administrador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Acceso total, gestión de usuarios, todas las vistas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Todas las vistas + Dashboard + Configuración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Avanzado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Equipos, Tickets, Repuestos, Configuración básica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Solo Mis Tickets y Equipos (solo lectura)</w:t>
            </w:r>
          </w:p>
        </w:tc>
      </w:tr>
    </w:tbl>
    <w:p/>
    <w:p>
      <w:pPr>
        <w:pStyle w:val="Heading1"/>
      </w:pPr>
      <w:r>
        <w:rPr>
          <w:color w:val="1D6FBF"/>
        </w:rPr>
        <w:t>6. Autenticación — Laravel Sanctum</w:t>
      </w:r>
    </w:p>
    <w:p>
      <w:pPr>
        <w:pStyle w:val="ListBullet"/>
      </w:pPr>
      <w:r>
        <w:rPr>
          <w:b/>
        </w:rPr>
        <w:t xml:space="preserve">Método: </w:t>
      </w:r>
      <w:r>
        <w:rPr>
          <w:sz w:val="20"/>
        </w:rPr>
        <w:t>Token Bearer (SPA token)</w:t>
      </w:r>
    </w:p>
    <w:p>
      <w:pPr>
        <w:pStyle w:val="ListBullet"/>
      </w:pPr>
      <w:r>
        <w:rPr>
          <w:b/>
        </w:rPr>
        <w:t xml:space="preserve">Endpoint login: </w:t>
      </w:r>
      <w:r>
        <w:rPr>
          <w:sz w:val="20"/>
        </w:rPr>
        <w:t>POST /api/v1/auth/login</w:t>
      </w:r>
    </w:p>
    <w:p>
      <w:pPr>
        <w:pStyle w:val="ListBullet"/>
      </w:pPr>
      <w:r>
        <w:rPr>
          <w:b/>
        </w:rPr>
        <w:t xml:space="preserve">Header requerido: </w:t>
      </w:r>
      <w:r>
        <w:rPr>
          <w:sz w:val="20"/>
        </w:rPr>
        <w:t>Authorization: Bearer &lt;token&gt;</w:t>
      </w:r>
    </w:p>
    <w:p>
      <w:pPr>
        <w:pStyle w:val="ListBullet"/>
      </w:pPr>
      <w:r>
        <w:rPr>
          <w:b/>
        </w:rPr>
        <w:t xml:space="preserve">Timeout de sesión: </w:t>
      </w:r>
      <w:r>
        <w:rPr>
          <w:sz w:val="20"/>
        </w:rPr>
        <w:t>30 minutos de inactividad (configurable)</w:t>
      </w:r>
    </w:p>
    <w:p>
      <w:pPr>
        <w:pStyle w:val="ListBullet"/>
      </w:pPr>
      <w:r>
        <w:rPr>
          <w:b/>
        </w:rPr>
        <w:t xml:space="preserve">Verificación de email: </w:t>
      </w:r>
      <w:r>
        <w:rPr>
          <w:sz w:val="20"/>
        </w:rPr>
        <w:t>Habilitada para nuevos usuarios</w:t>
      </w:r>
    </w:p>
    <w:p/>
    <w:p>
      <w:pPr>
        <w:pStyle w:val="Heading1"/>
      </w:pPr>
      <w:r>
        <w:rPr>
          <w:color w:val="1D6FBF"/>
        </w:rPr>
        <w:t>7. Procedimiento de Despliegue Rápido</w:t>
      </w:r>
    </w:p>
    <w:p>
      <w:pPr>
        <w:pStyle w:val="Heading2"/>
      </w:pPr>
      <w:r>
        <w:rPr>
          <w:color w:val="1D293D"/>
        </w:rPr>
        <w:t>Backend (Laravel)</w:t>
      </w:r>
    </w:p>
    <w:p>
      <w:pPr>
        <w:pStyle w:val="ListBullet"/>
      </w:pPr>
      <w:r>
        <w:rPr>
          <w:rFonts w:ascii="Courier New" w:hAnsi="Courier New"/>
          <w:sz w:val="18"/>
        </w:rPr>
        <w:t>cd eva-backend</w:t>
      </w:r>
    </w:p>
    <w:p>
      <w:pPr>
        <w:pStyle w:val="ListBullet"/>
      </w:pPr>
      <w:r>
        <w:rPr>
          <w:rFonts w:ascii="Courier New" w:hAnsi="Courier New"/>
          <w:sz w:val="18"/>
        </w:rPr>
        <w:t>composer install --no-dev</w:t>
      </w:r>
    </w:p>
    <w:p>
      <w:pPr>
        <w:pStyle w:val="ListBullet"/>
      </w:pPr>
      <w:r>
        <w:rPr>
          <w:rFonts w:ascii="Courier New" w:hAnsi="Courier New"/>
          <w:sz w:val="18"/>
        </w:rPr>
        <w:t>php artisan key:generate</w:t>
      </w:r>
    </w:p>
    <w:p>
      <w:pPr>
        <w:pStyle w:val="ListBullet"/>
      </w:pPr>
      <w:r>
        <w:rPr>
          <w:rFonts w:ascii="Courier New" w:hAnsi="Courier New"/>
          <w:sz w:val="18"/>
        </w:rPr>
        <w:t>php artisan migrate --force</w:t>
      </w:r>
    </w:p>
    <w:p>
      <w:pPr>
        <w:pStyle w:val="ListBullet"/>
      </w:pPr>
      <w:r>
        <w:rPr>
          <w:rFonts w:ascii="Courier New" w:hAnsi="Courier New"/>
          <w:sz w:val="18"/>
        </w:rPr>
        <w:t>php artisan config:cache</w:t>
      </w:r>
    </w:p>
    <w:p>
      <w:pPr>
        <w:pStyle w:val="ListBullet"/>
      </w:pPr>
      <w:r>
        <w:rPr>
          <w:rFonts w:ascii="Courier New" w:hAnsi="Courier New"/>
          <w:sz w:val="18"/>
        </w:rPr>
        <w:t>php artisan route:cache</w:t>
      </w:r>
    </w:p>
    <w:p>
      <w:pPr>
        <w:pStyle w:val="Heading2"/>
      </w:pPr>
      <w:r>
        <w:rPr>
          <w:color w:val="1D293D"/>
        </w:rPr>
        <w:t>Frontend (React + Vite)</w:t>
      </w:r>
    </w:p>
    <w:p>
      <w:pPr>
        <w:pStyle w:val="ListBullet"/>
      </w:pPr>
      <w:r>
        <w:rPr>
          <w:rFonts w:ascii="Courier New" w:hAnsi="Courier New"/>
          <w:sz w:val="18"/>
        </w:rPr>
        <w:t>cd eva-frontend</w:t>
      </w:r>
    </w:p>
    <w:p>
      <w:pPr>
        <w:pStyle w:val="ListBullet"/>
      </w:pPr>
      <w:r>
        <w:rPr>
          <w:rFonts w:ascii="Courier New" w:hAnsi="Courier New"/>
          <w:sz w:val="18"/>
        </w:rPr>
        <w:t>npm ci</w:t>
      </w:r>
    </w:p>
    <w:p>
      <w:pPr>
        <w:pStyle w:val="ListBullet"/>
      </w:pPr>
      <w:r>
        <w:rPr>
          <w:rFonts w:ascii="Courier New" w:hAnsi="Courier New"/>
          <w:sz w:val="18"/>
        </w:rPr>
        <w:t>npm run build   # genera: eva-frontend/dist/</w:t>
      </w:r>
    </w:p>
    <w:p>
      <w:pPr>
        <w:pStyle w:val="Heading1"/>
      </w:pPr>
      <w:r>
        <w:rPr>
          <w:color w:val="1D6FBF"/>
        </w:rPr>
        <w:t>8. Rate Limiting</w:t>
      </w:r>
    </w:p>
    <w:p>
      <w:r>
        <w:rPr>
          <w:sz w:val="20"/>
        </w:rPr>
        <w:t xml:space="preserve">La API implementa </w:t>
      </w:r>
      <w:r>
        <w:rPr>
          <w:b/>
        </w:rPr>
        <w:t>60 requests por minuto</w:t>
      </w:r>
      <w:r>
        <w:rPr>
          <w:sz w:val="20"/>
        </w:rPr>
        <w:t xml:space="preserve"> por IP autenticada, configurado via middleware </w:t>
      </w:r>
      <w:r>
        <w:rPr>
          <w:rFonts w:ascii="Courier New" w:hAnsi="Courier New"/>
          <w:sz w:val="18"/>
        </w:rPr>
        <w:t>throttle:60,1</w:t>
      </w:r>
      <w:r>
        <w:rPr>
          <w:sz w:val="20"/>
        </w:rPr>
        <w:t xml:space="preserve"> en todas las rutas /api/v1/.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