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2"/>
        </w:rPr>
        <w:t>HOSPITAL UNIVERSITARIO DEL VALLE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0"/>
        </w:rPr>
        <w:t>«Evaristo García» E.S.E.</w:t>
      </w:r>
    </w:p>
    <w:p/>
    <w:p>
      <w:pPr>
        <w:spacing w:after="120"/>
        <w:jc w:val="center"/>
      </w:pPr>
      <w:r>
        <w:rPr>
          <w:rFonts w:ascii="Calibri" w:hAnsi="Calibri"/>
          <w:b/>
          <w:i w:val="0"/>
          <w:color w:val="1D293D"/>
          <w:sz w:val="44"/>
        </w:rPr>
        <w:t>DOCUMENTACIÓN TÉCNICA AVANZADA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Sistema EVA — Módulos avanzados, flujos especiales y configuración</w:t>
      </w:r>
    </w:p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Versión 2.0.0  ·  Mayo 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1. Introducción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Este documento amplía la documentación técnica general del sistema EVA, cubriendo módulos avanzados, flujos especiales, configuraciones complejas y patrones de desarrollo utilizados en el sistema. Está dirigido a desarrolladores, arquitectos de sistemas e ingenieros biomédicos que requieren entender los detalles más profundos de la implementación.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2. Estado del frontend — React Context y Hooks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frontend de EVA utiliza React Context para administrar el estado global de la aplicación, evitando prop drilling y facilitando el acceso a datos compartidos desde cualquier componente.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Contexto</w:t>
            </w:r>
          </w:p>
        </w:tc>
        <w:tc>
          <w:tcPr>
            <w:tcW w:type="dxa" w:w="3118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Ubicación</w:t>
            </w:r>
          </w:p>
        </w:tc>
        <w:tc>
          <w:tcPr>
            <w:tcW w:type="dxa" w:w="3969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AuthContext</w:t>
            </w:r>
          </w:p>
        </w:tc>
        <w:tc>
          <w:tcPr>
            <w:tcW w:type="dxa" w:w="311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contexts/AuthContext.jsx</w:t>
            </w:r>
          </w:p>
        </w:tc>
        <w:tc>
          <w:tcPr>
            <w:tcW w:type="dxa" w:w="396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Usuario autenticado, token, rol, permisos, logout.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ToastContext</w:t>
            </w:r>
          </w:p>
        </w:tc>
        <w:tc>
          <w:tcPr>
            <w:tcW w:type="dxa" w:w="311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contexts/ToastContext.jsx</w:t>
            </w:r>
          </w:p>
        </w:tc>
        <w:tc>
          <w:tcPr>
            <w:tcW w:type="dxa" w:w="396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Notificaciones globales (éxito, error, advertencia).</w:t>
            </w:r>
          </w:p>
        </w:tc>
      </w:tr>
      <w:tr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TicketsContext</w:t>
            </w:r>
          </w:p>
        </w:tc>
        <w:tc>
          <w:tcPr>
            <w:tcW w:type="dxa" w:w="311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contexts/TicketsContext.jsx</w:t>
            </w:r>
          </w:p>
        </w:tc>
        <w:tc>
          <w:tcPr>
            <w:tcW w:type="dxa" w:w="396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Estado compartido de tickets entre vistas.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EquipmentSearchContext</w:t>
            </w:r>
          </w:p>
        </w:tc>
        <w:tc>
          <w:tcPr>
            <w:tcW w:type="dxa" w:w="311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contexts/EquipmentSearchContext.jsx</w:t>
            </w:r>
          </w:p>
        </w:tc>
        <w:tc>
          <w:tcPr>
            <w:tcW w:type="dxa" w:w="396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Búsqueda global de equipos en la barra superior.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3. Sistema de caché de equipmentPrefetchCache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servicio equipmentPrefetchCache.js implementa un sistema de caché en memoria para las opciones de formularios. Evita peticiones repetidas al servidor cuando el usuario abre/cierra modales de equipos múltiples veces en la misma sesión.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Primer acceso al modal: GET /api/v1/equipos/filter-options carga todos los catálogos de una vez.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Accesos posteriores: Las opciones se obtienen del caché en memoria, sin peticiones HTTP.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Invalidación: El caché se limpia después de crear/editar un equipo, para reflejar cambios.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4. Módulo de Calibraciones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Gestiona el registro y seguimiento de calibraciones de equipos biomédicos e industriales, con control automático de vigencia.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Tabla BD</w:t>
            </w:r>
          </w:p>
        </w:tc>
        <w:tc>
          <w:tcPr>
            <w:tcW w:type="dxa" w:w="3969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Registros</w:t>
            </w:r>
          </w:p>
        </w:tc>
      </w:tr>
      <w:tr>
        <w:tc>
          <w:tcPr>
            <w:tcW w:type="dxa" w:w="34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</w:t>
            </w:r>
          </w:p>
        </w:tc>
        <w:tc>
          <w:tcPr>
            <w:tcW w:type="dxa" w:w="396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Calibraciones de equipos biomédicos</w:t>
            </w:r>
          </w:p>
        </w:tc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8.576</w:t>
            </w:r>
          </w:p>
        </w:tc>
      </w:tr>
      <w:tr>
        <w:tc>
          <w:tcPr>
            <w:tcW w:type="dxa" w:w="340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calibracion_ind</w:t>
            </w:r>
          </w:p>
        </w:tc>
        <w:tc>
          <w:tcPr>
            <w:tcW w:type="dxa" w:w="396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Calibraciones de equipos industriales</w:t>
            </w:r>
          </w:p>
        </w:tc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321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5. Módulo de Repuestos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Inventario de repuestos disponibles para mantenimiento de equipos, con alertas automáticas de stock mínimo y trazabilidad de uso.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357 repuestos registrados en la base de datos.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Vinculación de repuestos pendientes a órdenes de trabajo correctivas.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Exportación de repuestos por servicio o por tipo de equipo.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6. Flujo de mantenimiento correctivo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1. Flujo completo de un ticket correctivo desde su apertura hasta el cierre.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2551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5386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 Creación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Personal clínico</w:t>
            </w:r>
          </w:p>
        </w:tc>
        <w:tc>
          <w:tcPr>
            <w:tcW w:type="dxa" w:w="538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Crea ticket indicando equipo y síntomas.</w:t>
            </w:r>
          </w:p>
        </w:tc>
      </w:tr>
      <w:tr>
        <w:tc>
          <w:tcPr>
            <w:tcW w:type="dxa" w:w="170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2. Diagnóstico</w:t>
            </w:r>
          </w:p>
        </w:tc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Ingeniero biomédico</w:t>
            </w:r>
          </w:p>
        </w:tc>
        <w:tc>
          <w:tcPr>
            <w:tcW w:type="dxa" w:w="538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Registra diagnóstico inicial y plan de acción.</w:t>
            </w:r>
          </w:p>
        </w:tc>
      </w:tr>
      <w:tr>
        <w:tc>
          <w:tcPr>
            <w:tcW w:type="dxa" w:w="170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 Reparación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Técnico especialista</w:t>
            </w:r>
          </w:p>
        </w:tc>
        <w:tc>
          <w:tcPr>
            <w:tcW w:type="dxa" w:w="538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Realiza mantenimiento y adjunta evidencias.</w:t>
            </w:r>
          </w:p>
        </w:tc>
      </w:tr>
      <w:tr>
        <w:tc>
          <w:tcPr>
            <w:tcW w:type="dxa" w:w="170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4. Verificación</w:t>
            </w:r>
          </w:p>
        </w:tc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Ingeniero responsable</w:t>
            </w:r>
          </w:p>
        </w:tc>
        <w:tc>
          <w:tcPr>
            <w:tcW w:type="dxa" w:w="538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Verifica que la solución es efectiva.</w:t>
            </w:r>
          </w:p>
        </w:tc>
      </w:tr>
      <w:tr>
        <w:tc>
          <w:tcPr>
            <w:tcW w:type="dxa" w:w="170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5. Cierre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Sistema / Usuario</w:t>
            </w:r>
          </w:p>
        </w:tc>
        <w:tc>
          <w:tcPr>
            <w:tcW w:type="dxa" w:w="538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Genera reporte PDF y archiva el ticket.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7. Exportaciones complejas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sistema permite exportar datos consolidados en formato Excel, con múltiples hojas y cálculos automáticos.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Exportación de cronograma anual con estado de ejecución por equipo.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Exportación de correctivos con diagnóstico, solución y tiempo de resolución.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Exportación de calibraciones con vigencia automática calculada.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8. Seguridad avanzada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2. Mecanismos avanzados de seguridad implementados.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Mecanismo</w:t>
            </w:r>
          </w:p>
        </w:tc>
        <w:tc>
          <w:tcPr>
            <w:tcW w:type="dxa" w:w="6236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4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Rate Limiting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Máximo 60 peticiones por minuto por IP.</w:t>
            </w:r>
          </w:p>
        </w:tc>
      </w:tr>
      <w:tr>
        <w:tc>
          <w:tcPr>
            <w:tcW w:type="dxa" w:w="340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CORS por dominio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Solo HUV y localhost (desarrollo) tienen acceso.</w:t>
            </w:r>
          </w:p>
        </w:tc>
      </w:tr>
      <w:tr>
        <w:tc>
          <w:tcPr>
            <w:tcW w:type="dxa" w:w="34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Validación strict de tipos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Todas las peticiones tienen validación con FormRequest.</w:t>
            </w:r>
          </w:p>
        </w:tc>
      </w:tr>
      <w:tr>
        <w:tc>
          <w:tcPr>
            <w:tcW w:type="dxa" w:w="340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Encriptación de contraseña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Bcrypt con 12 rondas (muy resistente a ataques).</w:t>
            </w:r>
          </w:p>
        </w:tc>
      </w:tr>
      <w:tr>
        <w:tc>
          <w:tcPr>
            <w:tcW w:type="dxa" w:w="34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Timeout de sesión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Logout automático después de 30 minutos de inactividad.</w:t>
            </w:r>
          </w:p>
        </w:tc>
      </w:tr>
      <w:tr>
        <w:tc>
          <w:tcPr>
            <w:tcW w:type="dxa" w:w="340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Auditoría de cambios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Tabla cambios_cronograma registra todas las modificaciones con usuario y fecha.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