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سياسة وإجراءات إدارة النقدية والخزينة (Cash Policy)
</w:t>
      </w:r>
    </w:p>
    <w:p>
      <w:r>
        <w:t xml:space="preserve">
1. مقبوضات النزلاء: إصدار إيصال نقدية فوري معتمد لكل تحصيل كاش أو فيزا.</w:t>
      </w:r>
    </w:p>
    <w:p>
      <w:r>
        <w:t xml:space="preserve">2. العهدة النثرية: سقف العهدة النثرية 3,000 جـ وإذن الصرف بموجب فاتورة ضريبية.</w:t>
      </w:r>
    </w:p>
    <w:p>
      <w:r>
        <w:t xml:space="preserve">3. العجز والزيادة: يلتزم الموظف بسداد أي عجز مالي فوراً، والزيادة تقيد لحساب الفندق.</w:t>
      </w:r>
    </w:p>
    <w:p>
      <w:r>
        <w:t xml:space="preserve">4. تقفيل الكافيه: جرد وتوريد نقدية مبيعات الكافيه يومياً الساعة 11:00 مساءً.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2026-08-15T12:41:16.756Z</dcterms:created>
  <dcterms:modified xsi:type="dcterms:W3CDTF">2026-08-15T12:41:16.756Z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