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78350F"/>
          <w:sz w:val="28"/>
          <w:szCs w:val="28"/>
        </w:rPr>
        <w:t xml:space="preserve">H E N U  H O T E L  P Y R A M I D S — فندق هينو الأهرامات
</w:t>
      </w:r>
      <w:r>
        <w:rPr>
          <w:b/>
          <w:bCs/>
          <w:color w:val="1F4E78"/>
          <w:sz w:val="32"/>
          <w:szCs w:val="32"/>
        </w:rPr>
        <w:t xml:space="preserve">عقد عمل فردي مؤقت وتعهد فندقي موحد
</w:t>
      </w:r>
    </w:p>
    <w:p>
      <w:r>
        <w:t xml:space="preserve">إنه في يوم ......... الموافق ...../...../2026م تحرر هذا العقد بين كل من:</w:t>
      </w:r>
    </w:p>
    <w:p>
      <w:r>
        <w:t xml:space="preserve">طرف أول: فندق هينو الأهرامات (نزلة السمان - الجيزة) ويمثله إدارة الفندق.</w:t>
      </w:r>
    </w:p>
    <w:p>
      <w:r>
        <w:t xml:space="preserve">طرف ثانٍ: السيد / ..................................................... بطاقة رقم قومي: ( .................................. ).</w:t>
      </w:r>
    </w:p>
    <w:p>
      <w:pPr>
        <w:pStyle w:val="Heading2"/>
      </w:pPr>
      <w:r>
        <w:t xml:space="preserve">
المادة الثالثة — الأجر والراتب وهيكلة حافز الـ KPIs:</w:t>
      </w:r>
    </w:p>
    <w:p>
      <w:r>
        <w:t xml:space="preserve">يتكون الراتب المالي الشامل للطرف الثاني من:
1. 75% راتب أساسي ثابت مقابل ساعات العمل الرسمية.
2. 25% حافز متغيّر مرتبط بتقييم معايير الأداء والـ KPIs اليومية (الالتزام، النظافة، Uniform، والابتسامة).</w:t>
      </w:r>
    </w:p>
    <w:p>
      <w:pPr>
        <w:jc w:val="center"/>
      </w:pPr>
      <w:r>
        <w:t xml:space="preserve">
توقيع الطرف الأول (الفندق): ...........................               توقيع الطرف الثاني (الموظف): ...........................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2026-08-15T12:41:16.799Z</dcterms:created>
  <dcterms:modified xsi:type="dcterms:W3CDTF">2026-08-15T12:41:16.799Z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