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4"/>
          <w:szCs w:val="24"/>
        </w:rPr>
        <w:t xml:space="preserve">الجمهورية الجزائرية الديمقراطية الشعبية</w:t>
      </w:r>
    </w:p>
    <w:p>
      <w:pPr>
        <w:spacing w:after="80"/>
        <w:jc w:val="center"/>
      </w:pPr>
      <w:r>
        <w:rPr>
          <w:rFonts w:ascii="Times New Roman" w:cs="Times New Roman" w:eastAsia="Times New Roman" w:hAnsi="Times New Roman"/>
          <w:sz w:val="24"/>
          <w:szCs w:val="24"/>
        </w:rPr>
        <w:t xml:space="preserve">وزارة التكوين والتعليم المهنيين</w:t>
      </w:r>
    </w:p>
    <w:p>
      <w:pPr>
        <w:spacing w:after="80"/>
        <w:jc w:val="center"/>
      </w:pPr>
      <w:r>
        <w:rPr>
          <w:rFonts w:ascii="Times New Roman" w:cs="Times New Roman" w:eastAsia="Times New Roman" w:hAnsi="Times New Roman"/>
          <w:sz w:val="24"/>
          <w:szCs w:val="24"/>
        </w:rPr>
        <w:t xml:space="preserve">معهد سعيدي عبد العاطي للتكوين المهني — البيض</w:t>
      </w:r>
    </w:p>
    <w:p>
      <w:pPr>
        <w:pBdr>
          <w:bottom w:val="single" w:color="2E75B6" w:sz="4" w:space="1"/>
        </w:pBdr>
        <w:spacing w:after="200"/>
      </w:pPr>
      <w:r>
        <w:t xml:space="preserve"/>
      </w:r>
    </w:p>
    <w:p>
      <w:pPr>
        <w:spacing w:after="160"/>
        <w:jc w:val="center"/>
      </w:pPr>
      <w:r>
        <w:rPr>
          <w:rFonts w:ascii="Times New Roman" w:cs="Times New Roman" w:eastAsia="Times New Roman" w:hAnsi="Times New Roman"/>
          <w:b/>
          <w:bCs/>
          <w:sz w:val="26"/>
          <w:szCs w:val="26"/>
        </w:rPr>
        <w:t xml:space="preserve">مذكرة تخرج لنيل شهادة التقني السامي</w:t>
      </w:r>
    </w:p>
    <w:p>
      <w:pPr>
        <w:spacing w:after="80"/>
        <w:jc w:val="center"/>
      </w:pPr>
      <w:r>
        <w:rPr>
          <w:rFonts w:ascii="Times New Roman" w:cs="Times New Roman" w:eastAsia="Times New Roman" w:hAnsi="Times New Roman"/>
          <w:sz w:val="24"/>
          <w:szCs w:val="24"/>
        </w:rPr>
        <w:t xml:space="preserve">تخصص: تسيير المخزونات واللوجستيك</w:t>
      </w:r>
    </w:p>
    <w:p>
      <w:pPr>
        <w:pBdr>
          <w:bottom w:val="single" w:color="2E75B6" w:sz="4" w:space="1"/>
        </w:pBdr>
        <w:spacing w:after="200"/>
      </w:pPr>
      <w:r>
        <w:t xml:space="preserve"/>
      </w:r>
    </w:p>
    <w:p>
      <w:pPr>
        <w:spacing w:before="200" w:after="200"/>
        <w:jc w:val="center"/>
      </w:pPr>
      <w:r>
        <w:rPr>
          <w:rFonts w:ascii="Times New Roman" w:cs="Times New Roman" w:eastAsia="Times New Roman" w:hAnsi="Times New Roman"/>
          <w:b/>
          <w:bCs/>
          <w:sz w:val="30"/>
          <w:szCs w:val="30"/>
        </w:rPr>
        <w:t xml:space="preserve">بناء نظام Mini ERP بـ Excel/VBA لأتمتة دورة الشراء والتخزين</w:t>
      </w:r>
    </w:p>
    <w:p>
      <w:pPr>
        <w:spacing w:after="400"/>
        <w:jc w:val="center"/>
      </w:pPr>
      <w:r>
        <w:rPr>
          <w:rFonts w:ascii="Times New Roman" w:cs="Times New Roman" w:eastAsia="Times New Roman" w:hAnsi="Times New Roman"/>
          <w:sz w:val="26"/>
          <w:szCs w:val="26"/>
        </w:rPr>
        <w:t xml:space="preserve">دراسة حالة: مخزن مديرية التربية لولاية البيض</w:t>
      </w:r>
    </w:p>
    <w:p>
      <w:pPr>
        <w:spacing w:after="80"/>
        <w:jc w:val="right"/>
      </w:pPr>
      <w:r>
        <w:rPr>
          <w:rFonts w:ascii="Times New Roman" w:cs="Times New Roman" w:eastAsia="Times New Roman" w:hAnsi="Times New Roman"/>
          <w:sz w:val="24"/>
          <w:szCs w:val="24"/>
        </w:rPr>
        <w:t xml:space="preserve">من إعداد: ماحي كمال عبد الغني</w:t>
      </w:r>
    </w:p>
    <w:p>
      <w:pPr>
        <w:spacing w:after="80"/>
        <w:jc w:val="right"/>
      </w:pPr>
      <w:r>
        <w:rPr>
          <w:rFonts w:ascii="Times New Roman" w:cs="Times New Roman" w:eastAsia="Times New Roman" w:hAnsi="Times New Roman"/>
          <w:sz w:val="24"/>
          <w:szCs w:val="24"/>
        </w:rPr>
        <w:t xml:space="preserve">مكان التربص: مديرية التربية لولاية البيض</w:t>
      </w:r>
    </w:p>
    <w:p>
      <w:pPr>
        <w:spacing w:after="400"/>
        <w:jc w:val="right"/>
      </w:pPr>
      <w:r>
        <w:rPr>
          <w:rFonts w:ascii="Times New Roman" w:cs="Times New Roman" w:eastAsia="Times New Roman" w:hAnsi="Times New Roman"/>
          <w:sz w:val="24"/>
          <w:szCs w:val="24"/>
        </w:rPr>
        <w:t xml:space="preserve">السنة الدراسية: 2025 / 2026</w:t>
      </w:r>
    </w:p>
    <w:p>
      <w:pPr>
        <w:pageBreakBefore/>
      </w:pPr>
      <w:r>
        <w:t xml:space="preserve"/>
      </w:r>
    </w:p>
    <w:p>
      <w:pPr>
        <w:pStyle w:val="Heading1"/>
        <w:bidi/>
        <w:spacing w:before="400" w:after="200"/>
        <w:jc w:val="center"/>
      </w:pPr>
      <w:r>
        <w:rPr>
          <w:rFonts w:ascii="Times New Roman" w:cs="Times New Roman" w:eastAsia="Times New Roman" w:hAnsi="Times New Roman"/>
          <w:b/>
          <w:bCs/>
          <w:sz w:val="32"/>
          <w:szCs w:val="32"/>
        </w:rPr>
        <w:t xml:space="preserve">مقدمة عامة</w:t>
      </w:r>
    </w:p>
    <w:p>
      <w:pPr>
        <w:bidi/>
        <w:spacing w:after="160" w:line="320"/>
        <w:jc w:val="right"/>
      </w:pPr>
      <w:r>
        <w:rPr>
          <w:rFonts w:ascii="Times New Roman" w:cs="Times New Roman" w:eastAsia="Times New Roman" w:hAnsi="Times New Roman"/>
          <w:sz w:val="26"/>
          <w:szCs w:val="26"/>
        </w:rPr>
        <w:t xml:space="preserve">تُعدّ وظيفة تسيير المخزونات من الوظائف الحيوية التي تضطلع بها المؤسسات العمومية في إطار سعيها نحو ترشيد النفقات وتحقيق الكفاءة التشغيلية. فمن خلال الإشراف على تدفق المواد والتجهيزات من مرحلة الاقتناء إلى غاية التوزيع على المستخدمين النهائيين، تتجلى أهمية ضبط هذه الوظيفة ورقمنتها في سياق التحول الإداري الرقمي الذي تشهده الجزائر.</w:t>
      </w:r>
    </w:p>
    <w:p>
      <w:pPr>
        <w:bidi/>
        <w:spacing w:after="160" w:line="320"/>
        <w:jc w:val="right"/>
      </w:pPr>
      <w:r>
        <w:rPr>
          <w:rFonts w:ascii="Times New Roman" w:cs="Times New Roman" w:eastAsia="Times New Roman" w:hAnsi="Times New Roman"/>
          <w:sz w:val="26"/>
          <w:szCs w:val="26"/>
        </w:rPr>
        <w:t xml:space="preserve">وتُمثّل مديرية التربية لولاية البيض نموذجاً تطبيقياً بالغ الأهمية في هذا الإطار، إذ تتولى تسيير مخزون متنوع من اللوازم المدرسية والتجهيزات الإدارية الضرورية لاستمرارية العمل في المؤسسات التعليمية التابعة لها. غير أن الواقع الميداني يكشف عن اعتماد هذه المديرية على أساليب تسيير يدوية كلاسيكية، تُفضي في أحيان كثيرة إلى صعوبات في تتبع الحركة المخزنية بدقة، وضعف في استباق حالات نفاد المخزون أو التكديس غير المبرر.</w:t>
      </w:r>
    </w:p>
    <w:p>
      <w:pPr>
        <w:bidi/>
        <w:spacing w:after="160" w:line="320"/>
        <w:jc w:val="right"/>
      </w:pPr>
      <w:r>
        <w:rPr>
          <w:rFonts w:ascii="Times New Roman" w:cs="Times New Roman" w:eastAsia="Times New Roman" w:hAnsi="Times New Roman"/>
          <w:sz w:val="26"/>
          <w:szCs w:val="26"/>
        </w:rPr>
        <w:t xml:space="preserve">وانطلاقاً من هذا الواقع، تبرز الحاجة الماسّة إلى تبني أداة رقمية وظيفية تُعيد هيكلة دورة الشراء والتخزين، وتُعزّز الجرد الدائم وآليات اتخاذ القرار. ومن هنا تتمحور إشكالية هذه الدراسة حول التساؤل الرئيسي التالي:</w:t>
      </w:r>
    </w:p>
    <w:p>
      <w:pPr>
        <w:pBdr>
          <w:top w:val="single" w:color="2E75B6" w:sz="4" w:space="4"/>
          <w:bottom w:val="single" w:color="2E75B6" w:sz="4" w:space="4"/>
        </w:pBdr>
        <w:bidi/>
        <w:spacing w:before="200" w:after="200"/>
        <w:jc w:val="center"/>
      </w:pPr>
      <w:r>
        <w:rPr>
          <w:rFonts w:ascii="Times New Roman" w:cs="Times New Roman" w:eastAsia="Times New Roman" w:hAnsi="Times New Roman"/>
          <w:b/>
          <w:bCs/>
          <w:i/>
          <w:iCs/>
          <w:sz w:val="26"/>
          <w:szCs w:val="26"/>
        </w:rPr>
        <w:t xml:space="preserve">كيف يمكن أتمتة دورة الشراء والتخزين وتعزيز الجرد الدائم في مخزن مؤسسة عمومية باستخدام أداة Excel/VBA؟</w:t>
      </w:r>
    </w:p>
    <w:p>
      <w:pPr>
        <w:bidi/>
        <w:spacing w:before="240" w:after="120"/>
        <w:jc w:val="right"/>
      </w:pPr>
      <w:r>
        <w:rPr>
          <w:rFonts w:ascii="Times New Roman" w:cs="Times New Roman" w:eastAsia="Times New Roman" w:hAnsi="Times New Roman"/>
          <w:b/>
          <w:bCs/>
          <w:sz w:val="26"/>
          <w:szCs w:val="26"/>
          <w:u w:val="single"/>
        </w:rPr>
        <w:t xml:space="preserve">الفرضيات:</w:t>
      </w:r>
    </w:p>
    <w:p>
      <w:pPr>
        <w:bidi/>
        <w:spacing w:after="160" w:line="320"/>
        <w:jc w:val="right"/>
      </w:pPr>
      <w:r>
        <w:rPr>
          <w:rFonts w:ascii="Times New Roman" w:cs="Times New Roman" w:eastAsia="Times New Roman" w:hAnsi="Times New Roman"/>
          <w:sz w:val="26"/>
          <w:szCs w:val="26"/>
        </w:rPr>
        <w:t xml:space="preserve">الفرضية الأولى: إن غياب نظام رقمي مندمج للتسيير هو المسبب الرئيسي لضعف دقة الجرد وبطء معالجة طلبات التموين في مخزن المديرية.</w:t>
      </w:r>
    </w:p>
    <w:p>
      <w:pPr>
        <w:bidi/>
        <w:spacing w:after="160" w:line="320"/>
        <w:jc w:val="right"/>
      </w:pPr>
      <w:r>
        <w:rPr>
          <w:rFonts w:ascii="Times New Roman" w:cs="Times New Roman" w:eastAsia="Times New Roman" w:hAnsi="Times New Roman"/>
          <w:sz w:val="26"/>
          <w:szCs w:val="26"/>
        </w:rPr>
        <w:t xml:space="preserve">الفرضية الثانية: إن بناء نظام Mini ERP وظيفي بـ Excel/VBA كفيل بتقليص أوقات المعالجة، وتحسين دقة المعلومات المخزنية، ودعم اتخاذ القرار في الوقت المناسب.</w:t>
      </w:r>
    </w:p>
    <w:p>
      <w:pPr>
        <w:bidi/>
        <w:spacing w:before="240" w:after="120"/>
        <w:jc w:val="right"/>
      </w:pPr>
      <w:r>
        <w:rPr>
          <w:rFonts w:ascii="Times New Roman" w:cs="Times New Roman" w:eastAsia="Times New Roman" w:hAnsi="Times New Roman"/>
          <w:b/>
          <w:bCs/>
          <w:sz w:val="26"/>
          <w:szCs w:val="26"/>
          <w:u w:val="single"/>
        </w:rPr>
        <w:t xml:space="preserve">أهداف الدراسة:</w:t>
      </w:r>
    </w:p>
    <w:p>
      <w:pPr>
        <w:bidi/>
        <w:spacing w:after="160" w:line="320"/>
        <w:jc w:val="right"/>
      </w:pPr>
      <w:r>
        <w:rPr>
          <w:rFonts w:ascii="Times New Roman" w:cs="Times New Roman" w:eastAsia="Times New Roman" w:hAnsi="Times New Roman"/>
          <w:sz w:val="26"/>
          <w:szCs w:val="26"/>
        </w:rPr>
        <w:t xml:space="preserve">تسعى هذه المذكرة إلى تحقيق الأهداف التالية:</w:t>
      </w:r>
    </w:p>
    <w:p>
      <w:pPr>
        <w:bidi/>
        <w:spacing w:after="160" w:line="320"/>
        <w:jc w:val="right"/>
      </w:pPr>
      <w:r>
        <w:rPr>
          <w:rFonts w:ascii="Times New Roman" w:cs="Times New Roman" w:eastAsia="Times New Roman" w:hAnsi="Times New Roman"/>
          <w:sz w:val="26"/>
          <w:szCs w:val="26"/>
        </w:rPr>
        <w:t xml:space="preserve">— تشخيص النظام اليدوي القائم وتحديد نقاط ضعفه البنيوية.</w:t>
      </w:r>
    </w:p>
    <w:p>
      <w:pPr>
        <w:bidi/>
        <w:spacing w:after="160" w:line="320"/>
        <w:jc w:val="right"/>
      </w:pPr>
      <w:r>
        <w:rPr>
          <w:rFonts w:ascii="Times New Roman" w:cs="Times New Roman" w:eastAsia="Times New Roman" w:hAnsi="Times New Roman"/>
          <w:sz w:val="26"/>
          <w:szCs w:val="26"/>
        </w:rPr>
        <w:t xml:space="preserve">— تصميم نموذج Mini ERP قابل للتطبيق الفوري ببيئة Excel/VBA.</w:t>
      </w:r>
    </w:p>
    <w:p>
      <w:pPr>
        <w:bidi/>
        <w:spacing w:after="160" w:line="320"/>
        <w:jc w:val="right"/>
      </w:pPr>
      <w:r>
        <w:rPr>
          <w:rFonts w:ascii="Times New Roman" w:cs="Times New Roman" w:eastAsia="Times New Roman" w:hAnsi="Times New Roman"/>
          <w:sz w:val="26"/>
          <w:szCs w:val="26"/>
        </w:rPr>
        <w:t xml:space="preserve">— قياس الأثر الفعلي للأداة المقترحة على دقة الجرد وسرعة معالجة المعطيات.</w:t>
      </w:r>
    </w:p>
    <w:p>
      <w:pPr>
        <w:bidi/>
        <w:spacing w:after="160" w:line="320"/>
        <w:jc w:val="right"/>
      </w:pPr>
      <w:r>
        <w:rPr>
          <w:rFonts w:ascii="Times New Roman" w:cs="Times New Roman" w:eastAsia="Times New Roman" w:hAnsi="Times New Roman"/>
          <w:sz w:val="26"/>
          <w:szCs w:val="26"/>
        </w:rPr>
        <w:t xml:space="preserve">— تقديم توصيات منهجية قابلة للتعميم على مؤسسات مماثلة.</w:t>
      </w:r>
    </w:p>
    <w:p>
      <w:pPr>
        <w:bidi/>
        <w:spacing w:before="240" w:after="120"/>
        <w:jc w:val="right"/>
      </w:pPr>
      <w:r>
        <w:rPr>
          <w:rFonts w:ascii="Times New Roman" w:cs="Times New Roman" w:eastAsia="Times New Roman" w:hAnsi="Times New Roman"/>
          <w:b/>
          <w:bCs/>
          <w:sz w:val="26"/>
          <w:szCs w:val="26"/>
          <w:u w:val="single"/>
        </w:rPr>
        <w:t xml:space="preserve">منهجية البحث:</w:t>
      </w:r>
    </w:p>
    <w:p>
      <w:pPr>
        <w:bidi/>
        <w:spacing w:after="160" w:line="320"/>
        <w:jc w:val="right"/>
      </w:pPr>
      <w:r>
        <w:rPr>
          <w:rFonts w:ascii="Times New Roman" w:cs="Times New Roman" w:eastAsia="Times New Roman" w:hAnsi="Times New Roman"/>
          <w:sz w:val="26"/>
          <w:szCs w:val="26"/>
        </w:rPr>
        <w:t xml:space="preserve">اعتمدت هذه الدراسة على منهجية مزدوجة تجمع بين التحليل الوثائقي والدراسة الميدانية. وقد تضمنت الجانب النظري استعراض المفاهيم الأساسية في تسيير المخزونات والأنظمة المندمجة (ERP)، فيما خُصّص الجانب التطبيقي للتشخيص المباشر لمخزن المديرية وتطوير النموذج الرقمي المقترح.</w:t>
      </w:r>
    </w:p>
    <w:p>
      <w:pPr>
        <w:bidi/>
        <w:spacing w:before="240" w:after="120"/>
        <w:jc w:val="right"/>
      </w:pPr>
      <w:r>
        <w:rPr>
          <w:rFonts w:ascii="Times New Roman" w:cs="Times New Roman" w:eastAsia="Times New Roman" w:hAnsi="Times New Roman"/>
          <w:b/>
          <w:bCs/>
          <w:sz w:val="26"/>
          <w:szCs w:val="26"/>
          <w:u w:val="single"/>
        </w:rPr>
        <w:t xml:space="preserve">هيكلة المذكرة:</w:t>
      </w:r>
    </w:p>
    <w:p>
      <w:pPr>
        <w:bidi/>
        <w:spacing w:after="160" w:line="320"/>
        <w:jc w:val="right"/>
      </w:pPr>
      <w:r>
        <w:rPr>
          <w:rFonts w:ascii="Times New Roman" w:cs="Times New Roman" w:eastAsia="Times New Roman" w:hAnsi="Times New Roman"/>
          <w:sz w:val="26"/>
          <w:szCs w:val="26"/>
        </w:rPr>
        <w:t xml:space="preserve">تم تقسيم هذه الدراسة إلى أربعة فصول رئيسية: يتناول الفصل الأول الإطار النظري لتسيير المخزونات، ويُخصَّص الفصل الثاني لمفهوم الأنظمة المندمجة وتطبيقاتها، في حين يتضمن الفصل الثالث التشخيص الميداني لمخزن المديرية، ليختتم الفصل الرابع بعرض النموذج المقترح وتقييم نتائجه.</w:t>
      </w:r>
    </w:p>
    <w:p>
      <w:pPr>
        <w:spacing w:after="120"/>
      </w:pPr>
      <w:r>
        <w:t xml:space="preserve"/>
      </w:r>
    </w:p>
    <w:p>
      <w:pPr>
        <w:pageBreakBefore/>
      </w:pPr>
      <w:r>
        <w:t xml:space="preserve"/>
      </w:r>
    </w:p>
    <w:p>
      <w:pPr>
        <w:pStyle w:val="Heading1"/>
        <w:bidi/>
        <w:spacing w:before="400" w:after="200"/>
        <w:jc w:val="center"/>
      </w:pPr>
      <w:r>
        <w:rPr>
          <w:rFonts w:ascii="Times New Roman" w:cs="Times New Roman" w:eastAsia="Times New Roman" w:hAnsi="Times New Roman"/>
          <w:b/>
          <w:bCs/>
          <w:sz w:val="32"/>
          <w:szCs w:val="32"/>
        </w:rPr>
        <w:t xml:space="preserve">الفصل الأول: الإطار النظري لتسيير المخزونات</w:t>
      </w:r>
    </w:p>
    <w:p>
      <w:pPr>
        <w:bidi/>
        <w:spacing w:after="300"/>
        <w:jc w:val="center"/>
      </w:pPr>
      <w:r>
        <w:rPr>
          <w:rFonts w:ascii="Times New Roman" w:cs="Times New Roman" w:eastAsia="Times New Roman" w:hAnsi="Times New Roman"/>
          <w:i/>
          <w:iCs/>
          <w:sz w:val="24"/>
          <w:szCs w:val="24"/>
        </w:rPr>
        <w:t xml:space="preserve">تمهيد الفصل</w:t>
      </w:r>
    </w:p>
    <w:p>
      <w:pPr>
        <w:bidi/>
        <w:spacing w:after="160" w:line="320"/>
        <w:jc w:val="right"/>
      </w:pPr>
      <w:r>
        <w:rPr>
          <w:rFonts w:ascii="Times New Roman" w:cs="Times New Roman" w:eastAsia="Times New Roman" w:hAnsi="Times New Roman"/>
          <w:sz w:val="26"/>
          <w:szCs w:val="26"/>
        </w:rPr>
        <w:t xml:space="preserve">يُعدّ هذا الفصل الركيزة النظرية التي تنبني عليها فصول الدراسة كلها. يستعرض المبحث الأول مفهوم المخزون وأهميته الاستراتيجية في المؤسسة العمومية، ثم ينتقل المبحث الثاني إلى أدوات التسيير الكمي للمخزون (تحليل ABC، نموذج ويلسون، نقطة إعادة الطلب)، ليختتم المبحث الثالث بعرض مفهوم الجرد الدائم وطرق تقييم المخزون (FIFO، CMUP).</w:t>
      </w:r>
    </w:p>
    <w:p>
      <w:pPr>
        <w:pBdr>
          <w:bottom w:val="single" w:color="2E75B6" w:sz="4" w:space="1"/>
        </w:pBdr>
        <w:spacing w:after="200"/>
      </w:pPr>
      <w:r>
        <w:t xml:space="preserve"/>
      </w:r>
    </w:p>
    <w:p>
      <w:pPr>
        <w:pStyle w:val="Heading2"/>
        <w:bidi/>
        <w:spacing w:before="300" w:after="160"/>
        <w:jc w:val="right"/>
      </w:pPr>
      <w:r>
        <w:rPr>
          <w:rFonts w:ascii="Times New Roman" w:cs="Times New Roman" w:eastAsia="Times New Roman" w:hAnsi="Times New Roman"/>
          <w:b/>
          <w:bCs/>
          <w:sz w:val="28"/>
          <w:szCs w:val="28"/>
        </w:rPr>
        <w:t xml:space="preserve">المبحث الأول: مفهوم المخزون وأهميته في المؤسسة العمومية</w:t>
      </w:r>
    </w:p>
    <w:p>
      <w:pPr>
        <w:bidi/>
        <w:spacing w:before="240" w:after="120"/>
        <w:jc w:val="right"/>
      </w:pPr>
      <w:r>
        <w:rPr>
          <w:rFonts w:ascii="Times New Roman" w:cs="Times New Roman" w:eastAsia="Times New Roman" w:hAnsi="Times New Roman"/>
          <w:b/>
          <w:bCs/>
          <w:sz w:val="26"/>
          <w:szCs w:val="26"/>
          <w:u w:val="single"/>
        </w:rPr>
        <w:t xml:space="preserve">أولاً: تعريف المخزون</w:t>
      </w:r>
    </w:p>
    <w:p>
      <w:pPr>
        <w:bidi/>
        <w:spacing w:after="160" w:line="320"/>
        <w:jc w:val="right"/>
      </w:pPr>
      <w:r>
        <w:rPr>
          <w:rFonts w:ascii="Times New Roman" w:cs="Times New Roman" w:eastAsia="Times New Roman" w:hAnsi="Times New Roman"/>
          <w:sz w:val="26"/>
          <w:szCs w:val="26"/>
        </w:rPr>
        <w:t xml:space="preserve">يُعرَّف المخزون في أدبيات تسيير الموارد على أنه مجموع السلع والمواد والتجهيزات التي تحتفظ بها المؤسسة في مرحلة انتظار الاستخدام، سواء أكانت مواد أولية، أم منتجات نصف مصنّعة، أم بضائع جاهزة للبيع أو التوزيع. [مرجع: Garreau &amp; Viale, Gestion des stocks, 2012]</w:t>
      </w:r>
    </w:p>
    <w:p>
      <w:pPr>
        <w:bidi/>
        <w:spacing w:after="160" w:line="320"/>
        <w:jc w:val="right"/>
      </w:pPr>
      <w:r>
        <w:rPr>
          <w:rFonts w:ascii="Times New Roman" w:cs="Times New Roman" w:eastAsia="Times New Roman" w:hAnsi="Times New Roman"/>
          <w:sz w:val="26"/>
          <w:szCs w:val="26"/>
        </w:rPr>
        <w:t xml:space="preserve">وفي سياق المؤسسات العمومية كمديريات التربية الوطنية، يشمل المخزون صنفين رئيسيين:</w:t>
      </w:r>
    </w:p>
    <w:p>
      <w:pPr>
        <w:bidi/>
        <w:spacing w:after="160" w:line="320"/>
        <w:jc w:val="right"/>
      </w:pPr>
      <w:r>
        <w:rPr>
          <w:rFonts w:ascii="Times New Roman" w:cs="Times New Roman" w:eastAsia="Times New Roman" w:hAnsi="Times New Roman"/>
          <w:sz w:val="26"/>
          <w:szCs w:val="26"/>
        </w:rPr>
        <w:t xml:space="preserve">— المواد الاستهلاكية ذات الدوران السريع (High-Turnover): كرزم الورق A4، والأحبار، وأدوات الكتابة التي تُستهلك بصفة منتظمة على مدار السنة الدراسية.</w:t>
      </w:r>
    </w:p>
    <w:p>
      <w:pPr>
        <w:bidi/>
        <w:spacing w:after="160" w:line="320"/>
        <w:jc w:val="right"/>
      </w:pPr>
      <w:r>
        <w:rPr>
          <w:rFonts w:ascii="Times New Roman" w:cs="Times New Roman" w:eastAsia="Times New Roman" w:hAnsi="Times New Roman"/>
          <w:sz w:val="26"/>
          <w:szCs w:val="26"/>
        </w:rPr>
        <w:t xml:space="preserve">— التجهيزات الدائمة (Fixed Assets in Stock): كالحواسيب، والطابعات، والمعدات المكتبية التي تُسجّل في سجل الممتلكات وتخضع لعمليات متابعة خاصة.</w:t>
      </w:r>
    </w:p>
    <w:p>
      <w:pPr>
        <w:bidi/>
        <w:spacing w:before="240" w:after="120"/>
        <w:jc w:val="right"/>
      </w:pPr>
      <w:r>
        <w:rPr>
          <w:rFonts w:ascii="Times New Roman" w:cs="Times New Roman" w:eastAsia="Times New Roman" w:hAnsi="Times New Roman"/>
          <w:b/>
          <w:bCs/>
          <w:sz w:val="26"/>
          <w:szCs w:val="26"/>
          <w:u w:val="single"/>
        </w:rPr>
        <w:t xml:space="preserve">ثانياً: أهمية تسيير المخزون</w:t>
      </w:r>
    </w:p>
    <w:p>
      <w:pPr>
        <w:bidi/>
        <w:spacing w:after="160" w:line="320"/>
        <w:jc w:val="right"/>
      </w:pPr>
      <w:r>
        <w:rPr>
          <w:rFonts w:ascii="Times New Roman" w:cs="Times New Roman" w:eastAsia="Times New Roman" w:hAnsi="Times New Roman"/>
          <w:sz w:val="26"/>
          <w:szCs w:val="26"/>
        </w:rPr>
        <w:t xml:space="preserve">تبرز أهمية تسيير المخزون من خلال ثلاث وظائف استراتيجية متكاملة:</w:t>
      </w:r>
    </w:p>
    <w:p>
      <w:pPr>
        <w:bidi/>
        <w:spacing w:after="160" w:line="320"/>
        <w:jc w:val="right"/>
      </w:pPr>
      <w:r>
        <w:rPr>
          <w:rFonts w:ascii="Times New Roman" w:cs="Times New Roman" w:eastAsia="Times New Roman" w:hAnsi="Times New Roman"/>
          <w:sz w:val="26"/>
          <w:szCs w:val="26"/>
        </w:rPr>
        <w:t xml:space="preserve">1. وظيفة الأمان والاستمرارية: يضمن المخزون الكافي استمرارية تزويد المصالح بما تحتاجه دون انقطاع، ولا سيما في المناطق المعزولة كولاية البيض التي تبعد عن مراكز التوزيع الكبرى (وهران: 300 كم، الجزائر: 500 كم).</w:t>
      </w:r>
    </w:p>
    <w:p>
      <w:pPr>
        <w:bidi/>
        <w:spacing w:after="160" w:line="320"/>
        <w:jc w:val="right"/>
      </w:pPr>
      <w:r>
        <w:rPr>
          <w:rFonts w:ascii="Times New Roman" w:cs="Times New Roman" w:eastAsia="Times New Roman" w:hAnsi="Times New Roman"/>
          <w:sz w:val="26"/>
          <w:szCs w:val="26"/>
        </w:rPr>
        <w:t xml:space="preserve">2. وظيفة التوازن الاقتصادي: يُتيح التحكم في مستويات المخزون تجنّب ظاهرتَي نفاد المخزون (Rupture de stock) التي تُعطّل سير العمل، والتكديس الزائد (Surstockage) الذي يُثقل كاهل الميزانية بتكاليف التخزين غير المبررة.</w:t>
      </w:r>
    </w:p>
    <w:p>
      <w:pPr>
        <w:bidi/>
        <w:spacing w:after="160" w:line="320"/>
        <w:jc w:val="right"/>
      </w:pPr>
      <w:r>
        <w:rPr>
          <w:rFonts w:ascii="Times New Roman" w:cs="Times New Roman" w:eastAsia="Times New Roman" w:hAnsi="Times New Roman"/>
          <w:sz w:val="26"/>
          <w:szCs w:val="26"/>
        </w:rPr>
        <w:t xml:space="preserve">3. وظيفة الرقابة والمساءلة: يُوفّر السجل المخزني الدقيق أساساً موثوقاً لعمليات الجرد، ويُمكّن الرقابة الداخلية والخارجية من التحقق من استعمال الأموال العمومية وفق متطلبات الشفافية الإدارية.</w:t>
      </w:r>
    </w:p>
    <w:p>
      <w:pPr>
        <w:bidi/>
        <w:spacing w:before="240" w:after="120"/>
        <w:jc w:val="right"/>
      </w:pPr>
      <w:r>
        <w:rPr>
          <w:rFonts w:ascii="Times New Roman" w:cs="Times New Roman" w:eastAsia="Times New Roman" w:hAnsi="Times New Roman"/>
          <w:b/>
          <w:bCs/>
          <w:sz w:val="26"/>
          <w:szCs w:val="26"/>
          <w:u w:val="single"/>
        </w:rPr>
        <w:t xml:space="preserve">ثالثاً: أنواع تكاليف المخزون</w:t>
      </w:r>
    </w:p>
    <w:p>
      <w:pPr>
        <w:bidi/>
        <w:spacing w:after="160" w:line="320"/>
        <w:jc w:val="right"/>
      </w:pPr>
      <w:r>
        <w:rPr>
          <w:rFonts w:ascii="Times New Roman" w:cs="Times New Roman" w:eastAsia="Times New Roman" w:hAnsi="Times New Roman"/>
          <w:sz w:val="26"/>
          <w:szCs w:val="26"/>
        </w:rPr>
        <w:t xml:space="preserve">يرتبط تسيير المخزون بمنظومة من التكاليف يجب أخذها بعين الاعتبار عند بناء أي نموذج تحسين:</w:t>
      </w:r>
    </w:p>
    <w:p>
      <w:pPr>
        <w:bidi/>
        <w:spacing w:after="160" w:line="320"/>
        <w:jc w:val="right"/>
      </w:pPr>
      <w:r>
        <w:rPr>
          <w:rFonts w:ascii="Times New Roman" w:cs="Times New Roman" w:eastAsia="Times New Roman" w:hAnsi="Times New Roman"/>
          <w:sz w:val="26"/>
          <w:szCs w:val="26"/>
        </w:rPr>
        <w:t xml:space="preserve">— تكلفة إصدار الطلبية (Coût de passation de commande / CL): تشمل تكلفة إعداد وثائق الطلب والمراسلات الإدارية مع الموردين. في سياق المديرية، تُقدَّر هذه التكلفة بحوالي 50 دج للطلبية الواحدة.</w:t>
      </w:r>
    </w:p>
    <w:p>
      <w:pPr>
        <w:bidi/>
        <w:spacing w:after="160" w:line="320"/>
        <w:jc w:val="right"/>
      </w:pPr>
      <w:r>
        <w:rPr>
          <w:rFonts w:ascii="Times New Roman" w:cs="Times New Roman" w:eastAsia="Times New Roman" w:hAnsi="Times New Roman"/>
          <w:sz w:val="26"/>
          <w:szCs w:val="26"/>
        </w:rPr>
        <w:t xml:space="preserve">— تكلفة الاحتفاظ بالمخزون (Coût de détention / Cd): تُمثّل الكلفة السنوية لتخزين وحدة واحدة من المادة، وتشمل تكاليف المساحة والتأمين والمتابعة. تُحسب عادةً كنسبة مئوية من ثمن الوحدة (t)، وتتراوح بين 15% و25% في المؤسسات الجزائرية.</w:t>
      </w:r>
    </w:p>
    <w:p>
      <w:pPr>
        <w:bidi/>
        <w:spacing w:after="160" w:line="320"/>
        <w:jc w:val="right"/>
      </w:pPr>
      <w:r>
        <w:rPr>
          <w:rFonts w:ascii="Times New Roman" w:cs="Times New Roman" w:eastAsia="Times New Roman" w:hAnsi="Times New Roman"/>
          <w:sz w:val="26"/>
          <w:szCs w:val="26"/>
        </w:rPr>
        <w:t xml:space="preserve">— تكلفة نفاد المخزون (Coût de rupture): تكلفة غير مباشرة تتجسد في تعطيل الأنشطة واللجوء إلى التموين الاستعجالي بأسعار مرتفعة.</w:t>
      </w:r>
    </w:p>
    <w:p>
      <w:pPr>
        <w:pBdr>
          <w:bottom w:val="single" w:color="2E75B6" w:sz="4" w:space="1"/>
        </w:pBdr>
        <w:spacing w:after="200"/>
      </w:pPr>
      <w:r>
        <w:t xml:space="preserve"/>
      </w:r>
    </w:p>
    <w:p>
      <w:pPr>
        <w:pStyle w:val="Heading2"/>
        <w:bidi/>
        <w:spacing w:before="300" w:after="160"/>
        <w:jc w:val="right"/>
      </w:pPr>
      <w:r>
        <w:rPr>
          <w:rFonts w:ascii="Times New Roman" w:cs="Times New Roman" w:eastAsia="Times New Roman" w:hAnsi="Times New Roman"/>
          <w:b/>
          <w:bCs/>
          <w:sz w:val="28"/>
          <w:szCs w:val="28"/>
        </w:rPr>
        <w:t xml:space="preserve">المبحث الثاني: أدوات التسيير الكمي للمخزون</w:t>
      </w:r>
    </w:p>
    <w:p>
      <w:pPr>
        <w:bidi/>
        <w:spacing w:before="240" w:after="120"/>
        <w:jc w:val="right"/>
      </w:pPr>
      <w:r>
        <w:rPr>
          <w:rFonts w:ascii="Times New Roman" w:cs="Times New Roman" w:eastAsia="Times New Roman" w:hAnsi="Times New Roman"/>
          <w:b/>
          <w:bCs/>
          <w:sz w:val="26"/>
          <w:szCs w:val="26"/>
          <w:u w:val="single"/>
        </w:rPr>
        <w:t xml:space="preserve">أولاً: تحليل ABC (قاعدة باريتو)</w:t>
      </w:r>
    </w:p>
    <w:p>
      <w:pPr>
        <w:bidi/>
        <w:spacing w:after="160" w:line="320"/>
        <w:jc w:val="right"/>
      </w:pPr>
      <w:r>
        <w:rPr>
          <w:rFonts w:ascii="Times New Roman" w:cs="Times New Roman" w:eastAsia="Times New Roman" w:hAnsi="Times New Roman"/>
          <w:sz w:val="26"/>
          <w:szCs w:val="26"/>
        </w:rPr>
        <w:t xml:space="preserve">يُعدّ تحليل ABC من أكثر أدوات تصنيف المخزون شيوعاً واستخداماً، ويستند إلى مبدأ باريتو (80/20) الذي يقرّ بأن نسبة محدودة من المقالات تمثّل الجزء الأكبر من القيمة الإجمالية للمخزون. يُصنَّف المخزون وفق هذا التحليل إلى ثلاث فئات:</w:t>
      </w:r>
    </w:p>
    <w:p>
      <w:pPr>
        <w:bidi/>
        <w:spacing w:after="160" w:line="320"/>
        <w:jc w:val="right"/>
      </w:pPr>
      <w:r>
        <w:rPr>
          <w:rFonts w:ascii="Times New Roman" w:cs="Times New Roman" w:eastAsia="Times New Roman" w:hAnsi="Times New Roman"/>
          <w:sz w:val="26"/>
          <w:szCs w:val="26"/>
        </w:rPr>
        <w:t xml:space="preserve">— الفئة A: تضم نحو 20% من المقالات وتُمثّل ما يقارب 80% من القيمة الإجمالية المستهلكة. تستوجب متابعة شهرية دقيقة ومستمرة. في مخزن المديرية: خراطيش الحبر الليزر وأطباق HP.</w:t>
      </w:r>
    </w:p>
    <w:p>
      <w:pPr>
        <w:bidi/>
        <w:spacing w:after="160" w:line="320"/>
        <w:jc w:val="right"/>
      </w:pPr>
      <w:r>
        <w:rPr>
          <w:rFonts w:ascii="Times New Roman" w:cs="Times New Roman" w:eastAsia="Times New Roman" w:hAnsi="Times New Roman"/>
          <w:sz w:val="26"/>
          <w:szCs w:val="26"/>
        </w:rPr>
        <w:t xml:space="preserve">— الفئة B: تضم نحو 30% من المقالات وتُمثّل 15% من القيمة. تخضع لمتابعة فصلية. في مخزن المديرية: رزم الورق A4، الدفاتر، أدوات التحرير.</w:t>
      </w:r>
    </w:p>
    <w:p>
      <w:pPr>
        <w:bidi/>
        <w:spacing w:after="160" w:line="320"/>
        <w:jc w:val="right"/>
      </w:pPr>
      <w:r>
        <w:rPr>
          <w:rFonts w:ascii="Times New Roman" w:cs="Times New Roman" w:eastAsia="Times New Roman" w:hAnsi="Times New Roman"/>
          <w:sz w:val="26"/>
          <w:szCs w:val="26"/>
        </w:rPr>
        <w:t xml:space="preserve">— الفئة C: تضم نحو 50% من المقالات وتُمثّل 5% فقط من القيمة. تكفيها متابعة نصف سنوية. في مخزن المديرية: الأقلام، الدبابيس، الشريط اللاصق.</w:t>
      </w:r>
    </w:p>
    <w:p>
      <w:pPr>
        <w:bidi/>
        <w:spacing w:before="240" w:after="120"/>
        <w:jc w:val="right"/>
      </w:pPr>
      <w:r>
        <w:rPr>
          <w:rFonts w:ascii="Times New Roman" w:cs="Times New Roman" w:eastAsia="Times New Roman" w:hAnsi="Times New Roman"/>
          <w:b/>
          <w:bCs/>
          <w:sz w:val="26"/>
          <w:szCs w:val="26"/>
          <w:u w:val="single"/>
        </w:rPr>
        <w:t xml:space="preserve">ثانياً: نموذج ويلسون (EOQ) — الكمية الاقتصادية للطلب</w:t>
      </w:r>
    </w:p>
    <w:p>
      <w:pPr>
        <w:bidi/>
        <w:spacing w:after="160" w:line="320"/>
        <w:jc w:val="right"/>
      </w:pPr>
      <w:r>
        <w:rPr>
          <w:rFonts w:ascii="Times New Roman" w:cs="Times New Roman" w:eastAsia="Times New Roman" w:hAnsi="Times New Roman"/>
          <w:sz w:val="26"/>
          <w:szCs w:val="26"/>
        </w:rPr>
        <w:t xml:space="preserve">طوّر فرانك ويلسون عام 1913 نموذجاً رياضياً يسعى إلى تحديد الكمية المثلى للطلب (Qe) التي تُقلّص مجموع تكاليف الإصدار والاحتفاظ إلى حدها الأدنى. تُعطى الصيغة الرياضية للنموذج بالشكل التالي:</w:t>
      </w:r>
    </w:p>
    <w:p>
      <w:pPr>
        <w:bidi/>
        <w:spacing w:before="160" w:after="160"/>
        <w:jc w:val="center"/>
      </w:pPr>
      <w:r>
        <w:rPr>
          <w:rFonts w:ascii="Courier New" w:cs="Courier New" w:eastAsia="Courier New" w:hAnsi="Courier New"/>
          <w:b/>
          <w:bCs/>
          <w:sz w:val="28"/>
          <w:szCs w:val="28"/>
        </w:rPr>
        <w:t xml:space="preserve">Qe = √ (2 × D × CL) / (t × PU)</w:t>
      </w:r>
    </w:p>
    <w:p>
      <w:pPr>
        <w:bidi/>
        <w:spacing w:after="160" w:line="320"/>
        <w:jc w:val="right"/>
      </w:pPr>
      <w:r>
        <w:rPr>
          <w:rFonts w:ascii="Times New Roman" w:cs="Times New Roman" w:eastAsia="Times New Roman" w:hAnsi="Times New Roman"/>
          <w:sz w:val="26"/>
          <w:szCs w:val="26"/>
        </w:rPr>
        <w:t xml:space="preserve">حيث: D = الطلب السنوي (وحدة/سنة)، CL = تكلفة إصدار الطلبية (دج)، PU = سعر الوحدة (دج)، t = معدل الاحتفاظ بالمخزون (%).</w:t>
      </w:r>
    </w:p>
    <w:p>
      <w:pPr>
        <w:bidi/>
        <w:spacing w:after="160" w:line="320"/>
        <w:jc w:val="right"/>
      </w:pPr>
      <w:r>
        <w:rPr>
          <w:rFonts w:ascii="Times New Roman" w:cs="Times New Roman" w:eastAsia="Times New Roman" w:hAnsi="Times New Roman"/>
          <w:sz w:val="26"/>
          <w:szCs w:val="26"/>
        </w:rPr>
        <w:t xml:space="preserve">تطبيق على رزمة الورق A4 في مخزن المديرية (D=2900 رزمة/سنة، CL=50 دج، PU=180 دج، t=20%):</w:t>
      </w:r>
    </w:p>
    <w:p>
      <w:pPr>
        <w:bidi/>
        <w:spacing w:before="120" w:after="120"/>
        <w:jc w:val="center"/>
      </w:pPr>
      <w:r>
        <w:rPr>
          <w:rFonts w:ascii="Courier New" w:cs="Courier New" w:eastAsia="Courier New" w:hAnsi="Courier New"/>
          <w:b/>
          <w:bCs/>
          <w:sz w:val="26"/>
          <w:szCs w:val="26"/>
        </w:rPr>
        <w:t xml:space="preserve">Qe = √ (2 × 2900 × 50) / (0.20 × 180) = √ 290000 / 36 ≈ 89.8 ≈ 90 رزمة</w:t>
      </w:r>
    </w:p>
    <w:p>
      <w:pPr>
        <w:bidi/>
        <w:spacing w:after="160" w:line="320"/>
        <w:jc w:val="right"/>
      </w:pPr>
      <w:r>
        <w:rPr>
          <w:rFonts w:ascii="Times New Roman" w:cs="Times New Roman" w:eastAsia="Times New Roman" w:hAnsi="Times New Roman"/>
          <w:sz w:val="26"/>
          <w:szCs w:val="26"/>
        </w:rPr>
        <w:t xml:space="preserve">يعني ذلك أنه من الأمثل إصدار طلبية كل مرة بكمية 90 رزمة تقريباً، مما يُفضي إلى ما يزيد على 32 طلبية في السنة. ولكن في الواقع التشغيلي للمؤسسات العمومية، يُفضَّل التكييف مع الدفعات المتاحة (البليات الجاهزة) وإصدار طلبيات بكميات أكبر مرتبطة بمواعيد الميزانية الفصلية.</w:t>
      </w:r>
    </w:p>
    <w:p>
      <w:pPr>
        <w:bidi/>
        <w:spacing w:before="240" w:after="120"/>
        <w:jc w:val="right"/>
      </w:pPr>
      <w:r>
        <w:rPr>
          <w:rFonts w:ascii="Times New Roman" w:cs="Times New Roman" w:eastAsia="Times New Roman" w:hAnsi="Times New Roman"/>
          <w:b/>
          <w:bCs/>
          <w:sz w:val="26"/>
          <w:szCs w:val="26"/>
          <w:u w:val="single"/>
        </w:rPr>
        <w:t xml:space="preserve">ثالثاً: نقطة إعادة الطلب (ROP) ومخزون الأمان</w:t>
      </w:r>
    </w:p>
    <w:p>
      <w:pPr>
        <w:bidi/>
        <w:spacing w:after="160" w:line="320"/>
        <w:jc w:val="right"/>
      </w:pPr>
      <w:r>
        <w:rPr>
          <w:rFonts w:ascii="Times New Roman" w:cs="Times New Roman" w:eastAsia="Times New Roman" w:hAnsi="Times New Roman"/>
          <w:sz w:val="26"/>
          <w:szCs w:val="26"/>
        </w:rPr>
        <w:t xml:space="preserve">نقطة إعادة الطلب هي المستوى المخزني الذي عند الوصول إليه يجب إصدار طلبية جديدة فوراً، ضماناً لاستمرار التزويد خلال فترة انتظار التسليم. تُحسب وفق الصيغة:</w:t>
      </w:r>
    </w:p>
    <w:p>
      <w:pPr>
        <w:bidi/>
        <w:spacing w:before="120" w:after="120"/>
        <w:jc w:val="center"/>
      </w:pPr>
      <w:r>
        <w:rPr>
          <w:rFonts w:ascii="Courier New" w:cs="Courier New" w:eastAsia="Courier New" w:hAnsi="Courier New"/>
          <w:b/>
          <w:bCs/>
          <w:sz w:val="26"/>
          <w:szCs w:val="26"/>
        </w:rPr>
        <w:t xml:space="preserve">ROP = (الاستهلاك اليومي × أجل التسليم) + مخزون الأمان</w:t>
      </w:r>
    </w:p>
    <w:p>
      <w:pPr>
        <w:bidi/>
        <w:spacing w:after="160" w:line="320"/>
        <w:jc w:val="right"/>
      </w:pPr>
      <w:r>
        <w:rPr>
          <w:rFonts w:ascii="Times New Roman" w:cs="Times New Roman" w:eastAsia="Times New Roman" w:hAnsi="Times New Roman"/>
          <w:sz w:val="26"/>
          <w:szCs w:val="26"/>
        </w:rPr>
        <w:t xml:space="preserve">ومخزون الأمان (Stock de sécurité / SS) هو الكمية الاحتياطية التي تُحتجز للتغلب على حالات الطلب غير المتوقع أو التأخر في التسليم. في حالة مخزن المديرية: استهلاك يومي ≈ 11.6 رزمة/يوم عمل، أجل التسليم = 2 أسابيع (10 أيام)، مخزون أمان = 200 رزمة، إذن: ROP = (11.6 × 10) + 200 = 316 رزمة.</w:t>
      </w:r>
    </w:p>
    <w:p>
      <w:pPr>
        <w:pBdr>
          <w:bottom w:val="single" w:color="2E75B6" w:sz="4" w:space="1"/>
        </w:pBdr>
        <w:spacing w:after="200"/>
      </w:pPr>
      <w:r>
        <w:t xml:space="preserve"/>
      </w:r>
    </w:p>
    <w:p>
      <w:pPr>
        <w:pStyle w:val="Heading2"/>
        <w:bidi/>
        <w:spacing w:before="300" w:after="160"/>
        <w:jc w:val="right"/>
      </w:pPr>
      <w:r>
        <w:rPr>
          <w:rFonts w:ascii="Times New Roman" w:cs="Times New Roman" w:eastAsia="Times New Roman" w:hAnsi="Times New Roman"/>
          <w:b/>
          <w:bCs/>
          <w:sz w:val="28"/>
          <w:szCs w:val="28"/>
        </w:rPr>
        <w:t xml:space="preserve">المبحث الثالث: الجرد الدائم وطرق تقييم المخزون</w:t>
      </w:r>
    </w:p>
    <w:p>
      <w:pPr>
        <w:bidi/>
        <w:spacing w:before="240" w:after="120"/>
        <w:jc w:val="right"/>
      </w:pPr>
      <w:r>
        <w:rPr>
          <w:rFonts w:ascii="Times New Roman" w:cs="Times New Roman" w:eastAsia="Times New Roman" w:hAnsi="Times New Roman"/>
          <w:b/>
          <w:bCs/>
          <w:sz w:val="26"/>
          <w:szCs w:val="26"/>
          <w:u w:val="single"/>
        </w:rPr>
        <w:t xml:space="preserve">أولاً: الجرد الدائم مقابل الجرد الدوري</w:t>
      </w:r>
    </w:p>
    <w:p>
      <w:pPr>
        <w:bidi/>
        <w:spacing w:after="160" w:line="320"/>
        <w:jc w:val="right"/>
      </w:pPr>
      <w:r>
        <w:rPr>
          <w:rFonts w:ascii="Times New Roman" w:cs="Times New Roman" w:eastAsia="Times New Roman" w:hAnsi="Times New Roman"/>
          <w:sz w:val="26"/>
          <w:szCs w:val="26"/>
        </w:rPr>
        <w:t xml:space="preserve">يُميّز علم تسيير المخزون بين نمطين أساسيين من الجرد:</w:t>
      </w:r>
    </w:p>
    <w:p>
      <w:pPr>
        <w:bidi/>
        <w:spacing w:after="160" w:line="320"/>
        <w:jc w:val="right"/>
      </w:pPr>
      <w:r>
        <w:rPr>
          <w:rFonts w:ascii="Times New Roman" w:cs="Times New Roman" w:eastAsia="Times New Roman" w:hAnsi="Times New Roman"/>
          <w:sz w:val="26"/>
          <w:szCs w:val="26"/>
        </w:rPr>
        <w:t xml:space="preserve">الجرد الدوري (Inventaire intermittent): يُجرى مرة أو مرتين في السنة، ويتطلب إيقاف حركة المخزون كلياً للعدّ الفيزيائي. رغم بساطته، فإنه يُخفي الأخطاء بين الجرديْن ولا يُوفّر صورة آنية عن المخزون.</w:t>
      </w:r>
    </w:p>
    <w:p>
      <w:pPr>
        <w:bidi/>
        <w:spacing w:after="160" w:line="320"/>
        <w:jc w:val="right"/>
      </w:pPr>
      <w:r>
        <w:rPr>
          <w:rFonts w:ascii="Times New Roman" w:cs="Times New Roman" w:eastAsia="Times New Roman" w:hAnsi="Times New Roman"/>
          <w:sz w:val="26"/>
          <w:szCs w:val="26"/>
        </w:rPr>
        <w:t xml:space="preserve">الجرد الدائم (Inventaire permanent): يعتمد على تسجيل كل حركة (دخول أو خروج) فور وقوعها، مما يُتيح معرفة الرصيد المخزني في أي لحظة دون الحاجة إلى إيقاف النشاط. هذا النمط هو المستهدف في نموذج Mini ERP المقترح.</w:t>
      </w:r>
    </w:p>
    <w:p>
      <w:pPr>
        <w:bidi/>
        <w:spacing w:before="240" w:after="120"/>
        <w:jc w:val="right"/>
      </w:pPr>
      <w:r>
        <w:rPr>
          <w:rFonts w:ascii="Times New Roman" w:cs="Times New Roman" w:eastAsia="Times New Roman" w:hAnsi="Times New Roman"/>
          <w:b/>
          <w:bCs/>
          <w:sz w:val="26"/>
          <w:szCs w:val="26"/>
          <w:u w:val="single"/>
        </w:rPr>
        <w:t xml:space="preserve">ثانياً: طرق تقييم المخزون</w:t>
      </w:r>
    </w:p>
    <w:p>
      <w:pPr>
        <w:bidi/>
        <w:spacing w:after="160" w:line="320"/>
        <w:jc w:val="right"/>
      </w:pPr>
      <w:r>
        <w:rPr>
          <w:rFonts w:ascii="Times New Roman" w:cs="Times New Roman" w:eastAsia="Times New Roman" w:hAnsi="Times New Roman"/>
          <w:sz w:val="26"/>
          <w:szCs w:val="26"/>
        </w:rPr>
        <w:t xml:space="preserve">تتعدد الطرق المحاسبية لتقييم قيمة الوحدات الخارجة من المخزون، وأبرزها في السياق الجزائري:</w:t>
      </w:r>
    </w:p>
    <w:p>
      <w:pPr>
        <w:bidi/>
        <w:spacing w:after="160" w:line="320"/>
        <w:jc w:val="right"/>
      </w:pPr>
      <w:r>
        <w:rPr>
          <w:rFonts w:ascii="Times New Roman" w:cs="Times New Roman" w:eastAsia="Times New Roman" w:hAnsi="Times New Roman"/>
          <w:sz w:val="26"/>
          <w:szCs w:val="26"/>
        </w:rPr>
        <w:t xml:space="preserve">طريقة FIFO (أول دخول أول خروج): تعتمد على إخراج الوحدات الأقدم أولاً من حيث التاريخ. تُعطي صورة أقرب للواقع الفيزيائي وتُناسب المواد القابلة للتلف. غير أنها تُقلّل من تكلفة الخروجات في حالات ارتفاع الأسعار، مما يُضخّم قيمة الأرباح المحاسبية.</w:t>
      </w:r>
    </w:p>
    <w:p>
      <w:pPr>
        <w:bidi/>
        <w:spacing w:after="160" w:line="320"/>
        <w:jc w:val="right"/>
      </w:pPr>
      <w:r>
        <w:rPr>
          <w:rFonts w:ascii="Times New Roman" w:cs="Times New Roman" w:eastAsia="Times New Roman" w:hAnsi="Times New Roman"/>
          <w:sz w:val="26"/>
          <w:szCs w:val="26"/>
        </w:rPr>
        <w:t xml:space="preserve">طريقة CMUP (المتوسط المرجّح للتكلفة): تُحسب تكلفة وحدة الخروج كمتوسط مرجّح لتكلفة المخزون الموجود قبل كل عملية دخول جديدة. تُعدّ الأبسط تطبيقاً في بيئة Excel وهي الأكثر استخداماً في المؤسسات العمومية الجزائرية. صيغتها:</w:t>
      </w:r>
    </w:p>
    <w:p>
      <w:pPr>
        <w:bidi/>
        <w:spacing w:before="120" w:after="120"/>
        <w:jc w:val="center"/>
      </w:pPr>
      <w:r>
        <w:rPr>
          <w:rFonts w:ascii="Courier New" w:cs="Courier New" w:eastAsia="Courier New" w:hAnsi="Courier New"/>
          <w:b/>
          <w:bCs/>
          <w:sz w:val="24"/>
          <w:szCs w:val="24"/>
        </w:rPr>
        <w:t xml:space="preserve">CMUP = (قيمة الرصيد قبل الدخول + قيمة الدخول) ÷ (كمية الرصيد قبل الدخول + كمية الدخول)</w:t>
      </w:r>
    </w:p>
    <w:p>
      <w:pPr>
        <w:bidi/>
        <w:spacing w:before="240" w:after="120"/>
        <w:jc w:val="right"/>
      </w:pPr>
      <w:r>
        <w:rPr>
          <w:rFonts w:ascii="Times New Roman" w:cs="Times New Roman" w:eastAsia="Times New Roman" w:hAnsi="Times New Roman"/>
          <w:b/>
          <w:bCs/>
          <w:sz w:val="26"/>
          <w:szCs w:val="26"/>
          <w:u w:val="single"/>
        </w:rPr>
        <w:t xml:space="preserve">ثالثاً: بطاقة المخزن كأداة للجرد الدائم</w:t>
      </w:r>
    </w:p>
    <w:p>
      <w:pPr>
        <w:bidi/>
        <w:spacing w:after="160" w:line="320"/>
        <w:jc w:val="right"/>
      </w:pPr>
      <w:r>
        <w:rPr>
          <w:rFonts w:ascii="Times New Roman" w:cs="Times New Roman" w:eastAsia="Times New Roman" w:hAnsi="Times New Roman"/>
          <w:sz w:val="26"/>
          <w:szCs w:val="26"/>
        </w:rPr>
        <w:t xml:space="preserve">بطاقة المخزن (Fiche de stock / Bin Card) هي الوثيقة الجوهرية التي تُسجّل جميع حركات مادة بعينها، وتُحافظ على رصيد محدَّث بعد كل عملية. تشمل الحقول الأساسية التالية: كود المادة، التسمية، وحدة القياس، تاريخ الحركة، نوع الحركة (دخول/خروج)، الكمية، مرجع الوثيقة (رقم وصل الاستلام أو وصل الإخراج)، الرصيد بعد الحركة، والقيمة بـ CMUP.</w:t>
      </w:r>
    </w:p>
    <w:p>
      <w:pPr>
        <w:bidi/>
        <w:spacing w:after="160" w:line="320"/>
        <w:jc w:val="right"/>
      </w:pPr>
      <w:r>
        <w:rPr>
          <w:rFonts w:ascii="Times New Roman" w:cs="Times New Roman" w:eastAsia="Times New Roman" w:hAnsi="Times New Roman"/>
          <w:sz w:val="26"/>
          <w:szCs w:val="26"/>
        </w:rPr>
        <w:t xml:space="preserve">في إطار نظام Mini ERP المقترح، ستُدار بطاقة المخزن رقمياً عبر ورقة MOUVEMENTS في ملف Excel، مع ربطها بآليات التنبيه التلقائي عند الاقتراب من مستوى الرصيد الأدنى.</w:t>
      </w:r>
    </w:p>
    <w:p>
      <w:pPr>
        <w:spacing w:after="120"/>
      </w:pPr>
      <w:r>
        <w:t xml:space="preserve"/>
      </w:r>
    </w:p>
    <w:p>
      <w:pPr>
        <w:pBdr>
          <w:bottom w:val="single" w:color="2E75B6" w:sz="4" w:space="1"/>
        </w:pBdr>
        <w:spacing w:after="200"/>
      </w:pPr>
      <w:r>
        <w:t xml:space="preserve"/>
      </w:r>
    </w:p>
    <w:p>
      <w:pPr>
        <w:bidi/>
        <w:spacing w:before="200" w:after="200"/>
        <w:jc w:val="center"/>
      </w:pPr>
      <w:r>
        <w:rPr>
          <w:rFonts w:ascii="Times New Roman" w:cs="Times New Roman" w:eastAsia="Times New Roman" w:hAnsi="Times New Roman"/>
          <w:b/>
          <w:bCs/>
          <w:sz w:val="26"/>
          <w:szCs w:val="26"/>
        </w:rPr>
        <w:t xml:space="preserve">خلاصة الفصل الأول</w:t>
      </w:r>
    </w:p>
    <w:p>
      <w:pPr>
        <w:bidi/>
        <w:spacing w:after="160" w:line="320"/>
        <w:jc w:val="right"/>
      </w:pPr>
      <w:r>
        <w:rPr>
          <w:rFonts w:ascii="Times New Roman" w:cs="Times New Roman" w:eastAsia="Times New Roman" w:hAnsi="Times New Roman"/>
          <w:sz w:val="26"/>
          <w:szCs w:val="26"/>
        </w:rPr>
        <w:t xml:space="preserve">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w:t>
      </w:r>
    </w:p>
    <w:p>
      <w:pPr>
        <w:bidi/>
        <w:spacing w:after="160" w:line="320"/>
        <w:jc w:val="right"/>
      </w:pPr>
      <w:r>
        <w:rPr>
          <w:rFonts w:ascii="Times New Roman" w:cs="Times New Roman" w:eastAsia="Times New Roman" w:hAnsi="Times New Roman"/>
          <w:sz w:val="26"/>
          <w:szCs w:val="26"/>
        </w:rPr>
        <w:t xml:space="preserve">وبناءً على هذا الإطار النظري، يتناول الفصل القادم مفهوم الأنظمة المندمجة (ERP) وإمكانية محاكاتها ببيئة Excel/VBA.</w:t>
      </w:r>
    </w:p>
    <w:p>
      <w:pPr>
        <w:spacing w:after="120"/>
      </w:pPr>
      <w:r>
        <w:t xml:space="preserve"/>
      </w:r>
    </w:p>
    <w:p>
      <w:pPr>
        <w:spacing w:before="200"/>
        <w:jc w:val="center"/>
      </w:pPr>
      <w:r>
        <w:rPr>
          <w:rFonts w:ascii="Times New Roman" w:cs="Times New Roman" w:eastAsia="Times New Roman" w:hAnsi="Times New Roman"/>
          <w:i/>
          <w:iCs/>
          <w:color w:val="888888"/>
          <w:sz w:val="22"/>
          <w:szCs w:val="22"/>
        </w:rPr>
        <w:t xml:space="preserve">— نهاية الفصل الأول —</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300" w:after="16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2026-03-22T12:52:38.200Z</dcterms:created>
  <dcterms:modified xsi:type="dcterms:W3CDTF">2026-03-22T12:52:38.201Z</dcterms:modified>
</cp:coreProperties>
</file>

<file path=docProps/custom.xml><?xml version="1.0" encoding="utf-8"?>
<Properties xmlns="http://schemas.openxmlformats.org/officeDocument/2006/custom-properties" xmlns:vt="http://schemas.openxmlformats.org/officeDocument/2006/docPropsVTypes"/>
</file>