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1440" w:after="0"/>
      </w:pPr>
      <w:r>
        <w:t xml:space="preserve"/>
      </w:r>
    </w:p>
    <w:p>
      <w:pPr>
        <w:bidi/>
        <w:spacing w:before="0" w:after="80" w:line="360"/>
        <w:jc w:val="center"/>
      </w:pPr>
      <w:r>
        <w:rPr>
          <w:rFonts w:ascii="Traditional Arabic" w:cs="Traditional Arabic" w:eastAsia="Traditional Arabic" w:hAnsi="Traditional Arabic"/>
          <w:b/>
          <w:bCs/>
          <w:color w:val="1A3D6E"/>
          <w:sz w:val="40"/>
          <w:szCs w:val="40"/>
          <w:rtl/>
        </w:rPr>
        <w:t xml:space="preserve">الفصل الثاني</w:t>
      </w:r>
    </w:p>
    <w:p>
      <w:pPr>
        <w:spacing w:before="0" w:after="80" w:line="360"/>
        <w:jc w:val="center"/>
      </w:pPr>
      <w:r>
        <w:rPr>
          <w:rFonts w:ascii="Times New Roman" w:cs="Times New Roman" w:eastAsia="Times New Roman" w:hAnsi="Times New Roman"/>
          <w:b/>
          <w:bCs/>
          <w:color w:val="1A3D6E"/>
          <w:sz w:val="32"/>
          <w:szCs w:val="32"/>
        </w:rPr>
        <w:t xml:space="preserve">Chapitre II</w:t>
      </w:r>
    </w:p>
    <w:p>
      <w:pPr>
        <w:spacing w:line="240" w:after="0"/>
      </w:pPr>
      <w:r>
        <w:t xml:space="preserve"/>
      </w:r>
    </w:p>
    <w:p>
      <w:pPr>
        <w:pBdr>
          <w:top w:val="single" w:color="1A3D6E" w:sz="8" w:space="6"/>
          <w:bottom w:val="single" w:color="1A3D6E" w:sz="8" w:space="6"/>
        </w:pBdr>
        <w:bidi/>
        <w:spacing w:before="120" w:after="120" w:line="400"/>
        <w:jc w:val="center"/>
      </w:pPr>
      <w:r>
        <w:rPr>
          <w:rFonts w:ascii="Traditional Arabic" w:cs="Traditional Arabic" w:eastAsia="Traditional Arabic" w:hAnsi="Traditional Arabic"/>
          <w:b/>
          <w:bCs/>
          <w:color w:val="1A3D6E"/>
          <w:sz w:val="36"/>
          <w:szCs w:val="36"/>
          <w:rtl/>
        </w:rPr>
        <w:t xml:space="preserve">الإطار الميداني — تقديم مديرية التربية لولاية البيض ومخزنها</w:t>
      </w:r>
    </w:p>
    <w:p>
      <w:pPr>
        <w:spacing w:before="80" w:after="0" w:line="360"/>
        <w:jc w:val="center"/>
      </w:pPr>
      <w:r>
        <w:rPr>
          <w:rFonts w:ascii="Times New Roman" w:cs="Times New Roman" w:eastAsia="Times New Roman" w:hAnsi="Times New Roman"/>
          <w:b/>
          <w:bCs/>
          <w:i/>
          <w:iCs/>
          <w:color w:val="555555"/>
          <w:sz w:val="32"/>
          <w:szCs w:val="32"/>
        </w:rPr>
        <w:t xml:space="preserve">Cadre terrain — Présentation de la Direction de l'Éducation de la Wilaya d'El Bayadh et de son magasin</w:t>
      </w:r>
    </w:p>
    <w:p>
      <w:pPr>
        <w:spacing w:line="1440" w:after="0"/>
      </w:pPr>
      <w:r>
        <w:t xml:space="preserve"/>
      </w:r>
    </w:p>
    <w:p>
      <w:pPr>
        <w:spacing w:line="240" w:after="0"/>
      </w:pPr>
      <w:r>
        <w:br w:type="page"/>
      </w:r>
    </w:p>
    <w:p>
      <w:pPr>
        <w:pStyle w:val="Heading2"/>
        <w:pBdr>
          <w:bottom w:val="single" w:color="2E6DA4" w:sz="4" w:space="2"/>
        </w:pBdr>
        <w:bidi/>
        <w:spacing w:before="320" w:after="120" w:line="360"/>
        <w:jc w:val="right"/>
      </w:pPr>
      <w:r>
        <w:rPr>
          <w:rFonts w:ascii="Traditional Arabic" w:cs="Traditional Arabic" w:eastAsia="Traditional Arabic" w:hAnsi="Traditional Arabic"/>
          <w:b/>
          <w:bCs/>
          <w:color w:val="1A3D6E"/>
          <w:sz w:val="28"/>
          <w:szCs w:val="28"/>
          <w:rtl/>
        </w:rPr>
        <w:t xml:space="preserve">تمهيد</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بعد أن تناولنا في الفصل الأول الإطار النظري لتسيير المخزونات وأساسيات اللوجستيك، ننتقل في هذا الفصل إلى الإطار الميداني للدراسة. يهدف هذا الفصل إلى تقديم المؤسسة التي أجرينا فيها تربصنا الميداني، وهي مديرية التربية لولاية البيض (الأكاديمية)، من حيث طبيعتها القانونية ومهامها التربوية وهيكلها التنظيمي.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كما يتناول هذا الفصل وصفاً تفصيلياً لمخزن المديرية، بما يشمل وظيفته، أصناف المواد المخزّنة، وطريقة التسيير المعتمدة حالياً. وهذا التوصيف الميداني يُمثّل نقطة الانطلاق الضرورية لإجراء التشخيص في الفصل الثالث، ثم اقتراح الحل الرقمي في الفصل الرابع.</w:t>
      </w:r>
    </w:p>
    <w:p>
      <w:pPr>
        <w:spacing w:line="240" w:after="0"/>
      </w:pPr>
      <w:r>
        <w:t xml:space="preserve"/>
      </w:r>
    </w:p>
    <w:p>
      <w:pPr>
        <w:pStyle w:val="Heading2"/>
        <w:pBdr>
          <w:bottom w:val="single" w:color="2E6DA4" w:sz="4" w:space="2"/>
        </w:pBdr>
        <w:bidi/>
        <w:spacing w:before="320" w:after="120" w:line="360"/>
        <w:jc w:val="right"/>
      </w:pPr>
      <w:r>
        <w:rPr>
          <w:rFonts w:ascii="Traditional Arabic" w:cs="Traditional Arabic" w:eastAsia="Traditional Arabic" w:hAnsi="Traditional Arabic"/>
          <w:b/>
          <w:bCs/>
          <w:color w:val="1A3D6E"/>
          <w:sz w:val="28"/>
          <w:szCs w:val="28"/>
          <w:rtl/>
        </w:rPr>
        <w:t xml:space="preserve">المبحث الأول: تقديم مديرية التربية لولاية البيض</w:t>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الأول: نشأة المؤسسة وطبيعتها القانونية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مديرية التربية لولاية البيض هي مؤسسة عمومية ذات طابع إداري، تعمل تحت وصاية وزارة التربية الوطنية وفق المرسوم التنفيذي رقم 90-253 المؤرخ في 28 أوت 1990 المتعلق بتنظيم مديريات التربية على مستوى الولايات. تقع مقراتها بولاية البيض (منطقة الجنوب الغربي الجزائري)، وتشمل دائرة اختصاصها جميع المقاطعات والبلديات الثماني والعشرين التابعة للولاية.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تنشأ مديرية التربية الولائية بموجب القانون باعتبارها الهيئة التنفيذية المكلفة بتطبيق السياسة التربوية الوطنية على المستوى المحلي، وتتمتع بالشخصية المعنوية والاستقلال المالي النسبي في إطار ميزانية الولاية المخصصة للقطاع التربوي.</w:t>
      </w:r>
    </w:p>
    <w:p>
      <w:pPr>
        <w:spacing w:line="120" w:after="0"/>
      </w:pPr>
      <w:r>
        <w:t xml:space="preserve"/>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الثاني: المهام والوظائف الرئيسية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تضطلع مديرية التربية لولاية البيض بجملة من المهام الاستراتيجية والتشغيلية، يمكن إجمالها فيما يلي: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أولاً — التخطيط والإشراف التربوي: الإشراف على المنظومة التعليمية بكافة أطوارها (ابتدائي، متوسط، ثانوي) في إطار المناهج الوطنية المعتمدة من وزارة التربية الوطنية.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ثانياً — الإدارة المالية والمادية: تسيير الاعتمادات المالية الممنوحة من الميزانية الولائية وصرفها وفق الإجراءات المحاسبية المعمول بها، بما يشمل اقتناء التجهيزات والمستلزمات المكتبية واللوازم المدرسية اللازمة لسير المؤسسات التعليمية.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ثالثاً — إدارة الموارد البشرية: التكفل بملفات الأساتذة والإداريين والمستخدمين الموضوعين تحت سلطتها من حيث التعيين والحركة والتكوين المستمر.</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رابعاً — التسيير اللوجستي والتموين: تأمين المواد والتجهيزات الضرورية للمؤسسات التعليمية التابعة لها وتوزيعها بصفة منتظمة، وذلك من خلال مصلحة الوسائل العامة التي تُعدّ المسؤولة الأولى عن تشغيل مخزن المديرية.</w:t>
      </w:r>
    </w:p>
    <w:p>
      <w:pPr>
        <w:spacing w:line="120" w:after="0"/>
      </w:pPr>
      <w:r>
        <w:t xml:space="preserve"/>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الثالث: الهيكل التنظيمي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يتضمن الهيكل التنظيمي لمديرية التربية لولاية البيض المصالح والوحدات الإدارية الموضحة في الجدول التالي:</w:t>
      </w:r>
    </w:p>
    <w:p>
      <w:pPr>
        <w:spacing w:before="80" w:after="60" w:line="276"/>
        <w:jc w:val="center"/>
      </w:pPr>
      <w:r>
        <w:rPr>
          <w:rFonts w:ascii="Traditional Arabic" w:cs="Traditional Arabic" w:eastAsia="Traditional Arabic" w:hAnsi="Traditional Arabic"/>
          <w:i/>
          <w:iCs/>
          <w:sz w:val="22"/>
          <w:szCs w:val="22"/>
          <w:rtl/>
        </w:rPr>
        <w:t xml:space="preserve">جدول 02-01 : الهيكل التنظيمي لمديرية التربية لولاية البيض</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rPr>
          <w:tblHeader/>
        </w:trPr>
        <w:tc>
          <w:tcPr>
            <w:tcW w:type="dxa" w:w="2929"/>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المصلحة / الوحدة</w:t>
            </w:r>
          </w:p>
        </w:tc>
        <w:tc>
          <w:tcPr>
            <w:tcW w:type="dxa" w:w="2929"/>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المهام الرئيسية</w:t>
            </w:r>
          </w:p>
        </w:tc>
        <w:tc>
          <w:tcPr>
            <w:tcW w:type="dxa" w:w="2929"/>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العلاقة بالمخزن</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مكتب المدير</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الإشراف العام والقرارات الاستراتيجية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إصدار القرارات الكبرى للتموين</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مصلحة الإدارة والوسائل العامة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التسيير المادي، المشتريات، الصيانة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مباشرة — تتولى تسيير المخزن</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مصلحة الميزانية والمحاسبة (المقتصدية)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الاعتمادات المالية، المحاسبة العمومية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الاعتماد المالي لأوامر الشراء</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مصلحة الموارد البشرية</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الملفات الإدارية للموظفين</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لا ارتباط مباشر</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مصلحة البيداغوجيا والامتحانات</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الإشراف التربوي، الامتحانات</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لا ارتباط مباشر</w:t>
            </w:r>
          </w:p>
        </w:tc>
      </w:tr>
      <w:tr>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مصلحة التخطيط والدراسات (و.م.م)</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البحث في الوسط المهني، التكوين</w:t>
            </w:r>
          </w:p>
        </w:tc>
        <w:tc>
          <w:tcPr>
            <w:tcW w:type="dxa" w:w="2929"/>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تربص التخرج (هذه الدراسة)</w:t>
            </w:r>
          </w:p>
        </w:tc>
      </w:tr>
    </w:tbl>
    <w:p>
      <w:pPr>
        <w:spacing w:line="120" w:after="0"/>
      </w:pPr>
      <w:r>
        <w:t xml:space="preserve"/>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يتضح من الجدول أعلاه أن مصلحة الإدارة والوسائل العامة هي الحلقة التنفيذية المركزية المتعلقة بتسيير المخزون، وأنها تعمل بالتنسيق المباشر مع مصلحة الميزانية لإتمام دورة الاقتناء والتوزيع.</w:t>
      </w:r>
    </w:p>
    <w:p>
      <w:pPr>
        <w:spacing w:line="240" w:after="0"/>
      </w:pPr>
      <w:r>
        <w:t xml:space="preserve"/>
      </w:r>
    </w:p>
    <w:p>
      <w:pPr>
        <w:pStyle w:val="Heading2"/>
        <w:pBdr>
          <w:bottom w:val="single" w:color="2E6DA4" w:sz="4" w:space="2"/>
        </w:pBdr>
        <w:bidi/>
        <w:spacing w:before="320" w:after="120" w:line="360"/>
        <w:jc w:val="right"/>
      </w:pPr>
      <w:r>
        <w:rPr>
          <w:rFonts w:ascii="Traditional Arabic" w:cs="Traditional Arabic" w:eastAsia="Traditional Arabic" w:hAnsi="Traditional Arabic"/>
          <w:b/>
          <w:bCs/>
          <w:color w:val="1A3D6E"/>
          <w:sz w:val="28"/>
          <w:szCs w:val="28"/>
          <w:rtl/>
        </w:rPr>
        <w:t xml:space="preserve">المبحث الثاني: تقديم مخزن مديرية التربية</w:t>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الأول: وصف المخزن وبنيته المادية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يقع المخزن الرئيسي لمديرية التربية لولاية البيض داخل المقر الإداري للمؤسسة. يتكون من قاعة تخزين رئيسية تُقسَّم وفق تصنيف وظيفي غير رسمي إلى أرفف خصصت لأنواع مختلفة من المواد. يعمل هذا المخزن لخدمة المصالح الداخلية للمديرية حصراً، ولا يُعدّ مستودعاً للتوزيع على المؤسسات التعليمية بصفة مباشرة.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تتراوح المساحة الإجمالية للمخزن بين ثلاثين وأربعين متراً مربعاً، مع توفر ممر وسطي للحركة وأرفف جدارية وأرضية. لا يستخدم المخزن نظام ترقيم منهجي للأماكن (Localisation), مما يجعل عملية البحث عن المقالات تعتمد اعتماداً كلياً على ذاكرة العاملين المسؤولين عنه.</w:t>
      </w:r>
    </w:p>
    <w:p>
      <w:pPr>
        <w:spacing w:line="120" w:after="0"/>
      </w:pPr>
      <w:r>
        <w:t xml:space="preserve"/>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الثاني: تصنيف المواد المخزّنة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استناداً إلى المعاينة الميدانية وبطاقات المخزون المُستخرجة، يمكن تصنيف مواد مخزن المديرية إلى الفئات التالية:</w:t>
      </w:r>
    </w:p>
    <w:p>
      <w:pPr>
        <w:spacing w:before="80" w:after="60" w:line="276"/>
        <w:jc w:val="center"/>
      </w:pPr>
      <w:r>
        <w:rPr>
          <w:rFonts w:ascii="Traditional Arabic" w:cs="Traditional Arabic" w:eastAsia="Traditional Arabic" w:hAnsi="Traditional Arabic"/>
          <w:i/>
          <w:iCs/>
          <w:sz w:val="22"/>
          <w:szCs w:val="22"/>
          <w:rtl/>
        </w:rPr>
        <w:t xml:space="preserve">جدول 02-02 : قائمة المقالات الرئيسية في مخزن مديرية التربية لولاية البيض (مستخرجة من البطاقات الميدانية)</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6"/>
      </w:tblGrid>
      <w:tr>
        <w:trPr>
          <w:tblHeader/>
        </w:trPr>
        <w:tc>
          <w:tcPr>
            <w:tcW w:type="dxa" w:w="2196"/>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رمز الصنف</w:t>
            </w:r>
          </w:p>
        </w:tc>
        <w:tc>
          <w:tcPr>
            <w:tcW w:type="dxa" w:w="2196"/>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التسمية</w:t>
            </w:r>
          </w:p>
        </w:tc>
        <w:tc>
          <w:tcPr>
            <w:tcW w:type="dxa" w:w="2196"/>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الوحدة</w:t>
            </w:r>
          </w:p>
        </w:tc>
        <w:tc>
          <w:tcPr>
            <w:tcW w:type="dxa" w:w="2196"/>
            <w:tcBorders>
              <w:top w:val="single" w:color="AAAAAA" w:sz="4"/>
              <w:left w:val="single" w:color="AAAAAA" w:sz="4"/>
              <w:bottom w:val="single" w:color="AAAAAA" w:sz="4"/>
              <w:right w:val="single" w:color="AAAAAA" w:sz="4"/>
            </w:tcBorders>
            <w:shd w:fill="2E6DA4"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bCs/>
                <w:color w:val="FFFFFF"/>
                <w:sz w:val="22"/>
                <w:szCs w:val="22"/>
                <w:rtl/>
              </w:rPr>
              <w:t xml:space="preserve">طبيعة الاستخدام</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م-001</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رزمة ورق A4 80g</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رزمة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الطباعة والإدارة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م-002</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حبر طابعة أسود (Toner)</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وحدة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الطباعة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م-003</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خرطوشة حبر ألوان</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وحدة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الطباعة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م-004</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أقلام حبر (علبة 50)</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علبة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المكاتب</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م-005</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دفاتر كبيرة الحجم 192 ص</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وحدة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الإدارة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م-006</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دباسة مكتبية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وحدة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الإدارة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م-007</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رزمة ورق A3 80g</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رزمة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الطباعة الكبيرة</w:t>
            </w:r>
          </w:p>
        </w:tc>
      </w:tr>
      <w:tr>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م-008</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قلم تحديد أسود دائم</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وحدة</w:t>
            </w:r>
          </w:p>
        </w:tc>
        <w:tc>
          <w:tcPr>
            <w:tcW w:type="dxa" w:w="2196"/>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vAlign w:val="center"/>
          </w:tcPr>
          <w:p>
            <w:pPr>
              <w:bidi/>
              <w:jc w:val="center"/>
            </w:pPr>
            <w:r>
              <w:rPr>
                <w:rFonts w:ascii="Traditional Arabic" w:cs="Traditional Arabic" w:eastAsia="Traditional Arabic" w:hAnsi="Traditional Arabic"/>
                <w:b w:val="false"/>
                <w:bCs w:val="false"/>
                <w:color w:val="000000"/>
                <w:sz w:val="22"/>
                <w:szCs w:val="22"/>
                <w:rtl/>
              </w:rPr>
              <w:t xml:space="preserve">داخلي — التخزين والتسمية</w:t>
            </w:r>
          </w:p>
        </w:tc>
      </w:tr>
    </w:tbl>
    <w:p>
      <w:pPr>
        <w:spacing w:line="120" w:after="0"/>
      </w:pPr>
      <w:r>
        <w:t xml:space="preserve"/>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تجدر الإشارة إلى أن هذه المواد ذات استخدام داخلي صرف، أي أنها موجهة لتغطية احتياجات مصالح المديرية اليومية، وليست مواد إعادة توزيع على المدارس. وهذا ما يُميّز طبيعة هذا المخزن عن المستودعات اللوجستية الكبرى.</w:t>
      </w:r>
    </w:p>
    <w:p>
      <w:pPr>
        <w:spacing w:line="120" w:after="0"/>
      </w:pPr>
      <w:r>
        <w:t xml:space="preserve"/>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الثالث: نظام التسيير المعتمد حالياً</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يعتمد مخزن المديرية على أسلوب التسيير اليدوي الكلاسيكي القائم على بطاقات المخزون الورقية (Fiches de Stock). تُسجَّل على هذه البطاقات حركات الدخول والخروج بصفة يدوية، وتُحدَّث بشكل دوري غير منتظم. لا يوجد حتى تاريخ إجراء هذا التربص نظام معلوماتي أو برنامج متخصص لتسيير المخزون.</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يُلاحظ على نظام التسيير الحالي جملة من الخصائص الهيكلية التي تستدعي الدراسة والتقييم، سيُتناول تفصيلها في إطار التشخيص الميداني للفصل الثالث، ونكتفي هنا بذكر أبرزها على النحو التالي: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أولاً — غياب التتبع المستندي: لم تُسجَّل في عمود رقم الوثيقة (رقم البون) أي مرجعية وثائقية في معظم حركات الدخول والخروج المسجّلة، مما يُعيق الرقابة المالية وإجراء الجرد المضاد.</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ثانياً — الاعتماد على الذاكرة البشرية: تسيير المخزن مرهون إلى حد بعيد بالخبرة الشخصية للعامل المكلف به، في غياب إجراءات مدونة أو أدلة تشغيلية رسمية.</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ثالثاً — انعدام الرقابة الاستباقية: لا تتوفر آلية تلقائية للإنذار المبكر عند اقتراب مستوى المخزون من العتبة الدنيا (سيتم إثبات حالات النفاد الفعلية بالأرقام في الفصل الثالث).</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رابعاً — صعوبة احتساب التكاليف: غياب تسجيل أسعار الوحدات بصفة منهجية يجعل احتساب التكلفة المرجّحة المتحركة (CMUP) أمراً متعذراً بدون الرجوع إلى وثائق الشراء الأصلية.</w:t>
      </w:r>
    </w:p>
    <w:p>
      <w:pPr>
        <w:spacing w:line="240" w:after="0"/>
      </w:pPr>
      <w:r>
        <w:t xml:space="preserve"/>
      </w:r>
    </w:p>
    <w:p>
      <w:pPr>
        <w:pStyle w:val="Heading3"/>
        <w:bidi/>
        <w:spacing w:before="200" w:after="80" w:line="360"/>
        <w:jc w:val="right"/>
      </w:pPr>
      <w:r>
        <w:rPr>
          <w:rFonts w:ascii="Traditional Arabic" w:cs="Traditional Arabic" w:eastAsia="Traditional Arabic" w:hAnsi="Traditional Arabic"/>
          <w:b/>
          <w:bCs/>
          <w:i/>
          <w:iCs/>
          <w:color w:val="2E6DA4"/>
          <w:sz w:val="24"/>
          <w:szCs w:val="24"/>
          <w:rtl/>
        </w:rPr>
        <w:t xml:space="preserve">المطلب الرابع: دورة التموين والتوزيع الداخلي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تتم عملية التموين (الدخول إلى المخزن) عبر المراحل التسلسلية التالية: تحديد الاحتياج من قِبل المصالح الداخلية، ثم إعداد طلب الشراء وإحالته إلى مصلحة الميزانية للاعتماد المالي، يليه إجراء الطلب من الموردين عبر استشارة أو طلب عروض حسب قيمة الصفقة، وصولاً إلى استلام البضاعة وتسجيلها في بطاقة المخزون.</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أما عمليات الخروج (التوزيع الداخلي)، فتتم بناءً على طلب شفهي أو مكتوب من المصلحة الطالبة، حيث يُسجّل المسؤول الكمية المسلَّمة في البطاقة اليدوية دون اشتراط وثيقة تسليم رسمية ممضاة في غالب الأحيان.</w:t>
      </w:r>
    </w:p>
    <w:p>
      <w:pPr>
        <w:spacing w:line="240" w:after="0"/>
      </w:pPr>
      <w:r>
        <w:t xml:space="preserve"/>
      </w:r>
    </w:p>
    <w:p>
      <w:pPr>
        <w:pStyle w:val="Heading2"/>
        <w:pBdr>
          <w:bottom w:val="single" w:color="2E6DA4" w:sz="4" w:space="2"/>
        </w:pBdr>
        <w:bidi/>
        <w:spacing w:before="320" w:after="120" w:line="360"/>
        <w:jc w:val="right"/>
      </w:pPr>
      <w:r>
        <w:rPr>
          <w:rFonts w:ascii="Traditional Arabic" w:cs="Traditional Arabic" w:eastAsia="Traditional Arabic" w:hAnsi="Traditional Arabic"/>
          <w:b/>
          <w:bCs/>
          <w:color w:val="1A3D6E"/>
          <w:sz w:val="28"/>
          <w:szCs w:val="28"/>
          <w:rtl/>
        </w:rPr>
        <w:t xml:space="preserve">خلاصة الفصل</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قدّمنا في هذا الفصل الإطار الميداني الكامل لدراستنا، بدءاً بتعريف مديرية التربية لولاية البيض من الناحيتين القانونية والتنظيمية، مروراً بوصف مخزنها الرئيسي من حيث بنيته المادية وتصنيف مقالاته وأسلوب تشغيله الحالي.</w:t>
      </w:r>
    </w:p>
    <w:p>
      <w:pPr>
        <w:bidi/>
        <w:spacing w:line="360" w:after="120"/>
        <w:jc w:val="right"/>
      </w:pPr>
      <w:r>
        <w:rPr>
          <w:rFonts w:ascii="Traditional Arabic" w:cs="Traditional Arabic" w:eastAsia="Traditional Arabic" w:hAnsi="Traditional Arabic"/>
          <w:b w:val="false"/>
          <w:bCs w:val="false"/>
          <w:i w:val="false"/>
          <w:iCs w:val="false"/>
          <w:color w:val="000000"/>
          <w:sz w:val="28"/>
          <w:szCs w:val="28"/>
          <w:rtl/>
        </w:rPr>
        <w:t xml:space="preserve">تبيّن من هذه الجولة الاستطلاعية أن المخزن يُسيَّر بأسلوب يدوي كلاسيكي يفتقر إلى التوثيق المستندي المنهجي، ويخلو من أي أداة رقمية للرقابة والتخطيط. وهذه المعطيات الميدانية تُشكّل الأرضية الموضوعية التي سينطلق منها الفصل الثالث لإجراء التشخيص الكمي الدقيق، عبر تحليل بطاقات المخزون الفعلية وإبراز مواطن الخلل بالأرقام والجداول.</w:t>
      </w:r>
    </w:p>
    <w:p>
      <w:pPr>
        <w:spacing w:line="240" w:after="0"/>
      </w:pPr>
      <w:r>
        <w:br w:type="page"/>
      </w:r>
    </w:p>
    <w:sectPr>
      <w:footerReference w:type="default" r:id="rId6"/>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480" w:after="200" w:line="360"/>
      <w:jc w:val="center"/>
      <w:outlineLvl w:val="0"/>
    </w:pPr>
    <w:rPr>
      <w:rFonts w:ascii="Traditional Arabic" w:cs="Traditional Arabic" w:eastAsia="Traditional Arabic" w:hAnsi="Traditional Arabic"/>
      <w:b/>
      <w:bCs/>
      <w:color w:val="1A3D6E"/>
      <w:sz w:val="32"/>
      <w:szCs w:val="32"/>
    </w:rPr>
  </w:style>
  <w:style w:type="paragraph" w:styleId="Heading2">
    <w:name w:val="Heading 2"/>
    <w:basedOn w:val="Normal"/>
    <w:next w:val="Normal"/>
    <w:qFormat/>
    <w:pPr>
      <w:bidi/>
      <w:spacing w:before="320" w:after="120" w:line="360"/>
      <w:jc w:val="right"/>
      <w:outlineLvl w:val="1"/>
    </w:pPr>
    <w:rPr>
      <w:rFonts w:ascii="Traditional Arabic" w:cs="Traditional Arabic" w:eastAsia="Traditional Arabic" w:hAnsi="Traditional Arabic"/>
      <w:b/>
      <w:bCs/>
      <w:color w:val="1A3D6E"/>
      <w:sz w:val="28"/>
      <w:szCs w:val="28"/>
    </w:rPr>
  </w:style>
  <w:style w:type="paragraph" w:styleId="Heading3">
    <w:name w:val="Heading 3"/>
    <w:basedOn w:val="Normal"/>
    <w:next w:val="Normal"/>
    <w:qFormat/>
    <w:pPr>
      <w:bidi/>
      <w:spacing w:before="200" w:after="80" w:line="360"/>
      <w:jc w:val="right"/>
      <w:outlineLvl w:val="2"/>
    </w:pPr>
    <w:rPr>
      <w:rFonts w:ascii="Traditional Arabic" w:cs="Traditional Arabic" w:eastAsia="Traditional Arabic" w:hAnsi="Traditional Arabic"/>
      <w:b/>
      <w:bCs/>
      <w:i/>
      <w:i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الفصل الثاني — تقديم مديرية التربية لولاية البيض ومخزنها</dc:title>
  <dc:creator>Mahi Kamel Abdelghani — TAG1801 GSL — CNEPD 2026</dc:creator>
  <dc:description>مذكرة التخرج — تقني سامي في تسيير المخزونات واللوجستيك</dc:description>
  <cp:lastModifiedBy>Un-named</cp:lastModifiedBy>
  <cp:revision>1</cp:revision>
  <dcterms:created xsi:type="dcterms:W3CDTF">2026-03-29T22:11:33.208Z</dcterms:created>
  <dcterms:modified xsi:type="dcterms:W3CDTF">2026-03-29T22:11:33.209Z</dcterms:modified>
</cp:coreProperties>
</file>

<file path=docProps/custom.xml><?xml version="1.0" encoding="utf-8"?>
<Properties xmlns="http://schemas.openxmlformats.org/officeDocument/2006/custom-properties" xmlns:vt="http://schemas.openxmlformats.org/officeDocument/2006/docPropsVTypes"/>
</file>