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0" w:line="360" w:lineRule="auto"/>
        <w:jc w:val="center"/>
      </w:pPr>
    </w:p>
    <w:p>
      <w:pPr>
        <w:bidi/>
        <w:spacing w:after="120" w:line="360" w:lineRule="auto"/>
        <w:jc w:val="center"/>
      </w:pPr>
      <w:r>
        <w:rPr>
          <w:rFonts w:ascii="Traditional Arabic" w:cs="Traditional Arabic" w:eastAsia="Traditional Arabic" w:hAnsi="Traditional Arabic"/>
          <w:b/>
          <w:bCs/>
          <w:color w:val="1B2631"/>
          <w:sz w:val="22"/>
          <w:szCs w:val="22"/>
        </w:rPr>
        <w:t xml:space="preserve">الجمهورية الجزائرية الديمقراطية الشعبية</w:t>
      </w:r>
    </w:p>
    <w:p>
      <w:pPr>
        <w:bidi/>
        <w:spacing w:after="120" w:line="360" w:lineRule="auto"/>
        <w:jc w:val="center"/>
      </w:pPr>
      <w:r>
        <w:rPr>
          <w:rFonts w:ascii="Traditional Arabic" w:cs="Traditional Arabic" w:eastAsia="Traditional Arabic" w:hAnsi="Traditional Arabic"/>
          <w:b w:val="false"/>
          <w:bCs w:val="false"/>
          <w:color w:val="1B2631"/>
          <w:sz w:val="22"/>
          <w:szCs w:val="22"/>
        </w:rPr>
        <w:t xml:space="preserve">وزارة التكوين والتعليم المهنيين</w:t>
      </w:r>
    </w:p>
    <w:p>
      <w:pPr>
        <w:bidi/>
        <w:spacing w:after="80" w:before="0" w:line="360" w:lineRule="auto"/>
        <w:jc w:val="center"/>
      </w:pPr>
    </w:p>
    <w:p>
      <w:pPr>
        <w:bidi/>
        <w:spacing w:after="200" w:line="360" w:lineRule="auto"/>
        <w:jc w:val="center"/>
      </w:pPr>
      <w:r>
        <w:rPr>
          <w:rFonts w:ascii="Traditional Arabic" w:cs="Traditional Arabic" w:eastAsia="Traditional Arabic" w:hAnsi="Traditional Arabic"/>
          <w:b/>
          <w:bCs/>
          <w:color w:val="0C447C"/>
          <w:sz w:val="26"/>
          <w:szCs w:val="26"/>
        </w:rPr>
        <w:t xml:space="preserve">معهد سعيدي عبد العاطي للتكوين المهني — البيض</w:t>
      </w:r>
    </w:p>
    <w:p>
      <w:pPr>
        <w:pBdr>
          <w:bottom w:val="single" w:color="0C447C" w:sz="6" w:space="4"/>
        </w:pBdr>
        <w:spacing w:after="120" w:before="120"/>
      </w:pPr>
    </w:p>
    <w:p>
      <w:pPr>
        <w:bidi/>
        <w:spacing w:after="60" w:before="160" w:line="360" w:lineRule="auto"/>
        <w:jc w:val="center"/>
      </w:pPr>
      <w:r>
        <w:rPr>
          <w:rFonts w:ascii="Traditional Arabic" w:cs="Traditional Arabic" w:eastAsia="Traditional Arabic" w:hAnsi="Traditional Arabic"/>
          <w:b/>
          <w:bCs/>
          <w:color w:val="1B2631"/>
          <w:sz w:val="28"/>
          <w:szCs w:val="28"/>
        </w:rPr>
        <w:t xml:space="preserve">مذكرة تخرج</w:t>
      </w:r>
    </w:p>
    <w:p>
      <w:pPr>
        <w:bidi/>
        <w:spacing w:after="200" w:line="360" w:lineRule="auto"/>
        <w:jc w:val="center"/>
      </w:pPr>
      <w:r>
        <w:rPr>
          <w:rFonts w:ascii="Traditional Arabic" w:cs="Traditional Arabic" w:eastAsia="Traditional Arabic" w:hAnsi="Traditional Arabic"/>
          <w:b w:val="false"/>
          <w:bCs w:val="false"/>
          <w:color w:val="444444"/>
          <w:sz w:val="22"/>
          <w:szCs w:val="22"/>
        </w:rPr>
        <w:t xml:space="preserve">لنيل شهادة تقني سامي في تسيير المخزونات واللوجستيك</w:t>
      </w:r>
    </w:p>
    <w:p>
      <w:pPr>
        <w:pBdr>
          <w:bottom w:val="single" w:color="0C447C" w:sz="6" w:space="4"/>
        </w:pBdr>
        <w:spacing w:after="120" w:before="120"/>
      </w:pPr>
    </w:p>
    <w:p>
      <w:pPr>
        <w:bidi/>
        <w:spacing w:after="200" w:before="0" w:line="360" w:lineRule="auto"/>
        <w:jc w:val="center"/>
      </w:pPr>
    </w:p>
    <w:p>
      <w:pPr>
        <w:bidi/>
        <w:spacing w:after="100" w:before="160" w:line="360" w:lineRule="auto"/>
        <w:jc w:val="center"/>
      </w:pPr>
      <w:r>
        <w:rPr>
          <w:rFonts w:ascii="Traditional Arabic" w:cs="Traditional Arabic" w:eastAsia="Traditional Arabic" w:hAnsi="Traditional Arabic"/>
          <w:b/>
          <w:bCs/>
          <w:color w:val="0C447C"/>
          <w:sz w:val="30"/>
          <w:szCs w:val="30"/>
        </w:rPr>
        <w:t xml:space="preserve">بناء نظام Mini ERP باستخدام Excel/VBA</w:t>
      </w:r>
    </w:p>
    <w:p>
      <w:pPr>
        <w:bidi/>
        <w:spacing w:after="100" w:line="360" w:lineRule="auto"/>
        <w:jc w:val="center"/>
      </w:pPr>
      <w:r>
        <w:rPr>
          <w:rFonts w:ascii="Traditional Arabic" w:cs="Traditional Arabic" w:eastAsia="Traditional Arabic" w:hAnsi="Traditional Arabic"/>
          <w:b w:val="false"/>
          <w:bCs w:val="false"/>
          <w:color w:val="1A5276"/>
          <w:sz w:val="26"/>
          <w:szCs w:val="26"/>
        </w:rPr>
        <w:t xml:space="preserve">لأتمتة دورة الشراء والتخزين وتعزيز الجرد الدائم</w:t>
      </w:r>
    </w:p>
    <w:p>
      <w:pPr>
        <w:bidi/>
        <w:spacing w:after="300" w:line="360" w:lineRule="auto"/>
        <w:jc w:val="center"/>
      </w:pPr>
      <w:r>
        <w:rPr>
          <w:rFonts w:ascii="Traditional Arabic" w:cs="Traditional Arabic" w:eastAsia="Traditional Arabic" w:hAnsi="Traditional Arabic"/>
          <w:b w:val="false"/>
          <w:bCs w:val="false"/>
          <w:color w:val="1A5276"/>
          <w:sz w:val="24"/>
          <w:szCs w:val="24"/>
        </w:rPr>
        <w:t xml:space="preserve">دراسة حالة: مخزن مديرية التربية لولاية البيض</w:t>
      </w:r>
    </w:p>
    <w:p>
      <w:pPr>
        <w:bidi/>
        <w:spacing w:after="200" w:before="0" w:line="360" w:lineRule="auto"/>
        <w:jc w:val="center"/>
      </w:pPr>
    </w:p>
    <w:p>
      <w:pPr>
        <w:bidi/>
        <w:spacing w:after="80"/>
        <w:jc w:val="center"/>
      </w:pPr>
      <w:r>
        <w:rPr>
          <w:rFonts w:ascii="Traditional Arabic" w:cs="Traditional Arabic" w:eastAsia="Traditional Arabic" w:hAnsi="Traditional Arabic"/>
          <w:b w:val="false"/>
          <w:bCs w:val="false"/>
          <w:color w:val="000000"/>
          <w:sz w:val="22"/>
          <w:szCs w:val="22"/>
        </w:rPr>
        <w:t xml:space="preserve">إعداد الطالب:      </w:t>
      </w:r>
      <w:r>
        <w:rPr>
          <w:rFonts w:ascii="Traditional Arabic" w:cs="Traditional Arabic" w:eastAsia="Traditional Arabic" w:hAnsi="Traditional Arabic"/>
          <w:b/>
          <w:bCs/>
          <w:color w:val="0C447C"/>
          <w:sz w:val="22"/>
          <w:szCs w:val="22"/>
        </w:rPr>
        <w:t xml:space="preserve">ماحي كمال عبد الغني</w:t>
      </w:r>
    </w:p>
    <w:p>
      <w:pPr>
        <w:bidi/>
        <w:spacing w:after="200"/>
        <w:jc w:val="center"/>
      </w:pPr>
      <w:r>
        <w:rPr>
          <w:rFonts w:ascii="Traditional Arabic" w:cs="Traditional Arabic" w:eastAsia="Traditional Arabic" w:hAnsi="Traditional Arabic"/>
          <w:b w:val="false"/>
          <w:bCs w:val="false"/>
          <w:color w:val="000000"/>
          <w:sz w:val="22"/>
          <w:szCs w:val="22"/>
        </w:rPr>
        <w:t xml:space="preserve">إشراف الأستاذ:      </w:t>
      </w:r>
      <w:r>
        <w:rPr>
          <w:rFonts w:ascii="Traditional Arabic" w:cs="Traditional Arabic" w:eastAsia="Traditional Arabic" w:hAnsi="Traditional Arabic"/>
          <w:b w:val="false"/>
          <w:bCs w:val="false"/>
          <w:color w:val="AAAAAA"/>
          <w:sz w:val="22"/>
          <w:szCs w:val="22"/>
        </w:rPr>
        <w:t xml:space="preserve">................................................................</w:t>
      </w:r>
    </w:p>
    <w:p>
      <w:pPr>
        <w:bidi/>
        <w:spacing w:after="200" w:before="0" w:line="360" w:lineRule="auto"/>
        <w:jc w:val="center"/>
      </w:pPr>
    </w:p>
    <w:p>
      <w:pPr>
        <w:bidi/>
        <w:spacing w:after="0" w:before="100" w:line="360" w:lineRule="auto"/>
        <w:jc w:val="center"/>
      </w:pPr>
      <w:r>
        <w:rPr>
          <w:rFonts w:ascii="Traditional Arabic" w:cs="Traditional Arabic" w:eastAsia="Traditional Arabic" w:hAnsi="Traditional Arabic"/>
          <w:b w:val="false"/>
          <w:bCs w:val="false"/>
          <w:color w:val="1B2631"/>
          <w:sz w:val="22"/>
          <w:szCs w:val="22"/>
        </w:rPr>
        <w:t xml:space="preserve">السنة الدراسية: 2025 / 2026</w:t>
      </w:r>
    </w:p>
    <w:p>
      <w:r>
        <w:br w:type="page"/>
      </w:r>
    </w:p>
    <w:p>
      <w:pPr>
        <w:bidi/>
        <w:spacing w:before="0" w:after="220" w:line="360" w:lineRule="auto"/>
        <w:jc w:val="right"/>
      </w:pPr>
      <w:r>
        <w:rPr>
          <w:rFonts w:ascii="Traditional Arabic" w:cs="Traditional Arabic" w:eastAsia="Traditional Arabic" w:hAnsi="Traditional Arabic"/>
          <w:b/>
          <w:bCs/>
          <w:color w:val="1B2631"/>
          <w:sz w:val="32"/>
          <w:szCs w:val="32"/>
        </w:rPr>
        <w:t xml:space="preserve">إهداء</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 وإلى كل مَن آمن بأن التكنولوجيا أداةٌ لخدمة الإدارة الجزائرية وتطويرها.</w:t>
      </w:r>
    </w:p>
    <w:p>
      <w:r>
        <w:br w:type="page"/>
      </w:r>
    </w:p>
    <w:p>
      <w:pPr>
        <w:bidi/>
        <w:spacing w:before="0" w:after="220" w:line="360" w:lineRule="auto"/>
        <w:jc w:val="right"/>
      </w:pPr>
      <w:r>
        <w:rPr>
          <w:rFonts w:ascii="Traditional Arabic" w:cs="Traditional Arabic" w:eastAsia="Traditional Arabic" w:hAnsi="Traditional Arabic"/>
          <w:b/>
          <w:bCs/>
          <w:color w:val="1B2631"/>
          <w:sz w:val="32"/>
          <w:szCs w:val="32"/>
        </w:rPr>
        <w:t xml:space="preserve">شكر وتقدير</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أتقدم بجزيل الشكر والعرفان إلى الأستاذ المشرف الذي لم يبخل بتوجيهاته ونصائحه القيّمة في جميع مراحل إعداد هذا العمل. كما أتوجه بالشكر الجزيل إلى إطارات معهد سعيدي عبد العاطي للتكوين المهني بالبيض على ما أبدوه من دعم لوجستي ومنهجي. 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p>
    <w:p>
      <w:r>
        <w:br w:type="page"/>
      </w:r>
    </w:p>
    <w:p>
      <w:pPr>
        <w:bidi/>
        <w:spacing w:before="0" w:after="220" w:line="360" w:lineRule="auto"/>
        <w:jc w:val="right"/>
      </w:pPr>
      <w:r>
        <w:rPr>
          <w:rFonts w:ascii="Traditional Arabic" w:cs="Traditional Arabic" w:eastAsia="Traditional Arabic" w:hAnsi="Traditional Arabic"/>
          <w:b/>
          <w:bCs/>
          <w:color w:val="1B2631"/>
          <w:sz w:val="32"/>
          <w:szCs w:val="32"/>
        </w:rPr>
        <w:t xml:space="preserve">ملخص</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تُعالج هذه المذكرة إشكاليةَ تسيير المخزون في المؤسسات العمومية، وتتخذ من مخزن مديرية التربية لولاية البيض ميداناً للدراسة التطبيقية. ينطلق البحث من تشخيص النظام اليدوي القائم، ويرصد أوجه القصور فيه: تكرار نفاد المخزون، وغياب التتبع الآني، وطول مدة الجرد الدوري. يُقترح كحل نظام Mini ERP مبني بـ Microsoft Excel و Visual Basic for Applications (VBA)، يُوحِّد دورة الشراء والتخزين ضمن بيئة رقمية متكاملة، مع تفعيل الجرد الدائم وآليات التنبيه الآلي عند بلوغ الحد الأدنى للمخزون.</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خلصت الدراسة إلى أن النظام المقترح حقّق تحسينات ملموسة في دقة الجرد وسرعة معالجة الطلبيات، وأثبت فرضيتَي البحث. كما أن تكلفة تطبيقه منعدمة نظراً لاستخدام أدوات Office المتاحة بالفعل في الإدارة الجزائرية.</w:t>
      </w:r>
    </w:p>
    <w:p>
      <w:pPr>
        <w:bidi/>
        <w:spacing w:after="80" w:before="0" w:line="360" w:lineRule="auto"/>
        <w:jc w:val="center"/>
      </w:pPr>
    </w:p>
    <w:p>
      <w:pPr>
        <w:bidi/>
        <w:spacing w:after="200" w:line="360" w:lineRule="auto"/>
        <w:jc w:val="right"/>
      </w:pPr>
      <w:r>
        <w:rPr>
          <w:rFonts w:ascii="Traditional Arabic" w:cs="Traditional Arabic" w:eastAsia="Traditional Arabic" w:hAnsi="Traditional Arabic"/>
          <w:b/>
          <w:bCs/>
          <w:color w:val="000000"/>
          <w:sz w:val="22"/>
          <w:szCs w:val="22"/>
        </w:rPr>
        <w:t xml:space="preserve">الكلمات المفتاحية: </w:t>
      </w:r>
      <w:r>
        <w:rPr>
          <w:rFonts w:ascii="Traditional Arabic" w:cs="Traditional Arabic" w:eastAsia="Traditional Arabic" w:hAnsi="Traditional Arabic"/>
          <w:b w:val="false"/>
          <w:bCs w:val="false"/>
          <w:color w:val="000000"/>
          <w:sz w:val="22"/>
          <w:szCs w:val="22"/>
        </w:rPr>
        <w:t xml:space="preserve">تسيير المخزون — Mini ERP — Excel/VBA — جرد دائم — تحليل ABC — نموذج ويلسون — مديرية التربية — ولاية البيض</w:t>
      </w:r>
    </w:p>
    <w:p>
      <w:pPr>
        <w:bidi/>
        <w:spacing w:after="200" w:before="0" w:line="360" w:lineRule="auto"/>
        <w:jc w:val="center"/>
      </w:pPr>
    </w:p>
    <w:p>
      <w:pPr>
        <w:bidi/>
        <w:spacing w:after="120" w:line="360" w:lineRule="auto"/>
        <w:jc w:val="left"/>
      </w:pPr>
      <w:r>
        <w:rPr>
          <w:rFonts w:ascii="Traditional Arabic" w:cs="Traditional Arabic" w:eastAsia="Traditional Arabic" w:hAnsi="Traditional Arabic"/>
          <w:b/>
          <w:bCs/>
          <w:color w:val="0C447C"/>
          <w:sz w:val="26"/>
          <w:szCs w:val="26"/>
        </w:rPr>
        <w:t xml:space="preserve">Résumé</w:t>
      </w:r>
    </w:p>
    <w:p>
      <w:pPr>
        <w:spacing w:after="120" w:line="340" w:lineRule="auto"/>
        <w:jc w:val="left"/>
      </w:pPr>
      <w:r>
        <w:rPr>
          <w:rFonts w:ascii="Arial" w:cs="Arial" w:eastAsia="Arial" w:hAnsi="Arial"/>
          <w:b w:val="false"/>
          <w:bCs w:val="false"/>
          <w:color w:val="333333"/>
          <w:sz w:val="20"/>
          <w:szCs w:val="20"/>
        </w:rPr>
        <w:t xml:space="preserve">Ce mémoire traite de la problématique de gestion des stocks dans les établissements publics, en prenant pour terrain d'étude le magasin de la Direction de l'Éducation de la wilaya d'El Bayadh. À partir d'un diagnostic du système manuel existant — ruptures récurrentes, absence de traçabilité, inventaires chronophages — il propose la construction d'un système Mini ERP sous Excel/VBA automatisant le cycle achat-stockage et renforçant l'inventaire permanent par des alertes intelligentes.</w:t>
      </w:r>
    </w:p>
    <w:p>
      <w:pPr>
        <w:spacing w:after="80" w:line="340" w:lineRule="auto"/>
        <w:jc w:val="left"/>
      </w:pPr>
      <w:r>
        <w:rPr>
          <w:rFonts w:ascii="Arial" w:cs="Arial" w:eastAsia="Arial" w:hAnsi="Arial"/>
          <w:b/>
          <w:bCs/>
          <w:color w:val="333333"/>
          <w:sz w:val="20"/>
          <w:szCs w:val="20"/>
        </w:rPr>
        <w:t xml:space="preserve">Mots-clés : </w:t>
      </w:r>
      <w:r>
        <w:rPr>
          <w:rFonts w:ascii="Arial" w:cs="Arial" w:eastAsia="Arial" w:hAnsi="Arial"/>
          <w:b w:val="false"/>
          <w:bCs w:val="false"/>
          <w:color w:val="333333"/>
          <w:sz w:val="20"/>
          <w:szCs w:val="20"/>
        </w:rPr>
        <w:t xml:space="preserve">Gestion des stocks — Mini ERP — Excel/VBA — Inventaire permanent — Analyse ABC — Modèle de Wilson — Direction de l'Éducation — El Bayadh</w:t>
      </w:r>
    </w:p>
    <w:p>
      <w:r>
        <w:br w:type="page"/>
      </w:r>
    </w:p>
    <w:p>
      <w:pPr>
        <w:bidi/>
        <w:spacing w:before="0" w:after="220" w:line="360" w:lineRule="auto"/>
        <w:jc w:val="right"/>
      </w:pPr>
      <w:r>
        <w:rPr>
          <w:rFonts w:ascii="Traditional Arabic" w:cs="Traditional Arabic" w:eastAsia="Traditional Arabic" w:hAnsi="Traditional Arabic"/>
          <w:b/>
          <w:bCs/>
          <w:color w:val="1B2631"/>
          <w:sz w:val="32"/>
          <w:szCs w:val="32"/>
        </w:rPr>
        <w:t xml:space="preserve">قائمة المختصرات والرموز</w:t>
      </w:r>
    </w:p>
    <w:p>
      <w:pPr>
        <w:bidi/>
        <w:spacing w:after="80"/>
        <w:jc w:val="right"/>
      </w:pPr>
      <w:r>
        <w:rPr>
          <w:rFonts w:ascii="Arial" w:cs="Arial" w:eastAsia="Arial" w:hAnsi="Arial"/>
          <w:b/>
          <w:bCs/>
          <w:color w:val="0C447C"/>
          <w:sz w:val="20"/>
          <w:szCs w:val="20"/>
        </w:rPr>
        <w:t xml:space="preserve">ERP   </w:t>
      </w:r>
      <w:r>
        <w:rPr>
          <w:rFonts w:ascii="Traditional Arabic" w:cs="Traditional Arabic" w:eastAsia="Traditional Arabic" w:hAnsi="Traditional Arabic"/>
          <w:b w:val="false"/>
          <w:bCs w:val="false"/>
          <w:color w:val="000000"/>
          <w:sz w:val="20"/>
          <w:szCs w:val="20"/>
        </w:rPr>
        <w:t xml:space="preserve">Enterprise Resource Planning — نظام تخطيط موارد المؤسسة</w:t>
      </w:r>
    </w:p>
    <w:p>
      <w:pPr>
        <w:bidi/>
        <w:spacing w:after="80"/>
        <w:jc w:val="right"/>
      </w:pPr>
      <w:r>
        <w:rPr>
          <w:rFonts w:ascii="Arial" w:cs="Arial" w:eastAsia="Arial" w:hAnsi="Arial"/>
          <w:b/>
          <w:bCs/>
          <w:color w:val="0C447C"/>
          <w:sz w:val="20"/>
          <w:szCs w:val="20"/>
        </w:rPr>
        <w:t xml:space="preserve">VBA   </w:t>
      </w:r>
      <w:r>
        <w:rPr>
          <w:rFonts w:ascii="Traditional Arabic" w:cs="Traditional Arabic" w:eastAsia="Traditional Arabic" w:hAnsi="Traditional Arabic"/>
          <w:b w:val="false"/>
          <w:bCs w:val="false"/>
          <w:color w:val="000000"/>
          <w:sz w:val="20"/>
          <w:szCs w:val="20"/>
        </w:rPr>
        <w:t xml:space="preserve">Visual Basic for Applications — لغة الأتمتة في Microsoft Office</w:t>
      </w:r>
    </w:p>
    <w:p>
      <w:pPr>
        <w:bidi/>
        <w:spacing w:after="80"/>
        <w:jc w:val="right"/>
      </w:pPr>
      <w:r>
        <w:rPr>
          <w:rFonts w:ascii="Arial" w:cs="Arial" w:eastAsia="Arial" w:hAnsi="Arial"/>
          <w:b/>
          <w:bCs/>
          <w:color w:val="0C447C"/>
          <w:sz w:val="20"/>
          <w:szCs w:val="20"/>
        </w:rPr>
        <w:t xml:space="preserve">EOQ / Qe   </w:t>
      </w:r>
      <w:r>
        <w:rPr>
          <w:rFonts w:ascii="Traditional Arabic" w:cs="Traditional Arabic" w:eastAsia="Traditional Arabic" w:hAnsi="Traditional Arabic"/>
          <w:b w:val="false"/>
          <w:bCs w:val="false"/>
          <w:color w:val="000000"/>
          <w:sz w:val="20"/>
          <w:szCs w:val="20"/>
        </w:rPr>
        <w:t xml:space="preserve">Economic Order Quantity — الكمية الاقتصادية المثلى للطلب (نموذج ويلسون)</w:t>
      </w:r>
    </w:p>
    <w:p>
      <w:pPr>
        <w:bidi/>
        <w:spacing w:after="80"/>
        <w:jc w:val="right"/>
      </w:pPr>
      <w:r>
        <w:rPr>
          <w:rFonts w:ascii="Arial" w:cs="Arial" w:eastAsia="Arial" w:hAnsi="Arial"/>
          <w:b/>
          <w:bCs/>
          <w:color w:val="0C447C"/>
          <w:sz w:val="20"/>
          <w:szCs w:val="20"/>
        </w:rPr>
        <w:t xml:space="preserve">ROP   </w:t>
      </w:r>
      <w:r>
        <w:rPr>
          <w:rFonts w:ascii="Traditional Arabic" w:cs="Traditional Arabic" w:eastAsia="Traditional Arabic" w:hAnsi="Traditional Arabic"/>
          <w:b w:val="false"/>
          <w:bCs w:val="false"/>
          <w:color w:val="000000"/>
          <w:sz w:val="20"/>
          <w:szCs w:val="20"/>
        </w:rPr>
        <w:t xml:space="preserve">Reorder Point — نقطة إعادة الطلب</w:t>
      </w:r>
    </w:p>
    <w:p>
      <w:pPr>
        <w:bidi/>
        <w:spacing w:after="80"/>
        <w:jc w:val="right"/>
      </w:pPr>
      <w:r>
        <w:rPr>
          <w:rFonts w:ascii="Arial" w:cs="Arial" w:eastAsia="Arial" w:hAnsi="Arial"/>
          <w:b/>
          <w:bCs/>
          <w:color w:val="0C447C"/>
          <w:sz w:val="20"/>
          <w:szCs w:val="20"/>
        </w:rPr>
        <w:t xml:space="preserve">SS   </w:t>
      </w:r>
      <w:r>
        <w:rPr>
          <w:rFonts w:ascii="Traditional Arabic" w:cs="Traditional Arabic" w:eastAsia="Traditional Arabic" w:hAnsi="Traditional Arabic"/>
          <w:b w:val="false"/>
          <w:bCs w:val="false"/>
          <w:color w:val="000000"/>
          <w:sz w:val="20"/>
          <w:szCs w:val="20"/>
        </w:rPr>
        <w:t xml:space="preserve">Safety Stock — مخزون الأمان</w:t>
      </w:r>
    </w:p>
    <w:p>
      <w:pPr>
        <w:bidi/>
        <w:spacing w:after="80"/>
        <w:jc w:val="right"/>
      </w:pPr>
      <w:r>
        <w:rPr>
          <w:rFonts w:ascii="Arial" w:cs="Arial" w:eastAsia="Arial" w:hAnsi="Arial"/>
          <w:b/>
          <w:bCs/>
          <w:color w:val="0C447C"/>
          <w:sz w:val="20"/>
          <w:szCs w:val="20"/>
        </w:rPr>
        <w:t xml:space="preserve">FIFO   </w:t>
      </w:r>
      <w:r>
        <w:rPr>
          <w:rFonts w:ascii="Traditional Arabic" w:cs="Traditional Arabic" w:eastAsia="Traditional Arabic" w:hAnsi="Traditional Arabic"/>
          <w:b w:val="false"/>
          <w:bCs w:val="false"/>
          <w:color w:val="000000"/>
          <w:sz w:val="20"/>
          <w:szCs w:val="20"/>
        </w:rPr>
        <w:t xml:space="preserve">First In, First Out — أول دخول أول خروج</w:t>
      </w:r>
    </w:p>
    <w:p>
      <w:pPr>
        <w:bidi/>
        <w:spacing w:after="80"/>
        <w:jc w:val="right"/>
      </w:pPr>
      <w:r>
        <w:rPr>
          <w:rFonts w:ascii="Arial" w:cs="Arial" w:eastAsia="Arial" w:hAnsi="Arial"/>
          <w:b/>
          <w:bCs/>
          <w:color w:val="0C447C"/>
          <w:sz w:val="20"/>
          <w:szCs w:val="20"/>
        </w:rPr>
        <w:t xml:space="preserve">CMUP   </w:t>
      </w:r>
      <w:r>
        <w:rPr>
          <w:rFonts w:ascii="Traditional Arabic" w:cs="Traditional Arabic" w:eastAsia="Traditional Arabic" w:hAnsi="Traditional Arabic"/>
          <w:b w:val="false"/>
          <w:bCs w:val="false"/>
          <w:color w:val="000000"/>
          <w:sz w:val="20"/>
          <w:szCs w:val="20"/>
        </w:rPr>
        <w:t xml:space="preserve">Coût Moyen Unitaire Pondéré — المتوسط المرجَّح للتكلفة الوحدوية</w:t>
      </w:r>
    </w:p>
    <w:p>
      <w:pPr>
        <w:bidi/>
        <w:spacing w:after="80"/>
        <w:jc w:val="right"/>
      </w:pPr>
      <w:r>
        <w:rPr>
          <w:rFonts w:ascii="Arial" w:cs="Arial" w:eastAsia="Arial" w:hAnsi="Arial"/>
          <w:b/>
          <w:bCs/>
          <w:color w:val="0C447C"/>
          <w:sz w:val="20"/>
          <w:szCs w:val="20"/>
        </w:rPr>
        <w:t xml:space="preserve">CVT   </w:t>
      </w:r>
      <w:r>
        <w:rPr>
          <w:rFonts w:ascii="Traditional Arabic" w:cs="Traditional Arabic" w:eastAsia="Traditional Arabic" w:hAnsi="Traditional Arabic"/>
          <w:b w:val="false"/>
          <w:bCs w:val="false"/>
          <w:color w:val="000000"/>
          <w:sz w:val="20"/>
          <w:szCs w:val="20"/>
        </w:rPr>
        <w:t xml:space="preserve">Coût Variable Total — إجمالي التكاليف المتغيرة</w:t>
      </w:r>
    </w:p>
    <w:p>
      <w:pPr>
        <w:bidi/>
        <w:spacing w:after="80"/>
        <w:jc w:val="right"/>
      </w:pPr>
      <w:r>
        <w:rPr>
          <w:rFonts w:ascii="Arial" w:cs="Arial" w:eastAsia="Arial" w:hAnsi="Arial"/>
          <w:b/>
          <w:bCs/>
          <w:color w:val="0C447C"/>
          <w:sz w:val="20"/>
          <w:szCs w:val="20"/>
        </w:rPr>
        <w:t xml:space="preserve">KPI   </w:t>
      </w:r>
      <w:r>
        <w:rPr>
          <w:rFonts w:ascii="Traditional Arabic" w:cs="Traditional Arabic" w:eastAsia="Traditional Arabic" w:hAnsi="Traditional Arabic"/>
          <w:b w:val="false"/>
          <w:bCs w:val="false"/>
          <w:color w:val="000000"/>
          <w:sz w:val="20"/>
          <w:szCs w:val="20"/>
        </w:rPr>
        <w:t xml:space="preserve">Key Performance Indicator — مؤشر الأداء الرئيسي</w:t>
      </w:r>
    </w:p>
    <w:p>
      <w:pPr>
        <w:bidi/>
        <w:spacing w:after="80"/>
        <w:jc w:val="right"/>
      </w:pPr>
      <w:r>
        <w:rPr>
          <w:rFonts w:ascii="Arial" w:cs="Arial" w:eastAsia="Arial" w:hAnsi="Arial"/>
          <w:b/>
          <w:bCs/>
          <w:color w:val="0C447C"/>
          <w:sz w:val="20"/>
          <w:szCs w:val="20"/>
        </w:rPr>
        <w:t xml:space="preserve">ABC   </w:t>
      </w:r>
      <w:r>
        <w:rPr>
          <w:rFonts w:ascii="Traditional Arabic" w:cs="Traditional Arabic" w:eastAsia="Traditional Arabic" w:hAnsi="Traditional Arabic"/>
          <w:b w:val="false"/>
          <w:bCs w:val="false"/>
          <w:color w:val="000000"/>
          <w:sz w:val="20"/>
          <w:szCs w:val="20"/>
        </w:rPr>
        <w:t xml:space="preserve">تصنيف باريتو الثلاثي للمواد المخزَّنة</w:t>
      </w:r>
    </w:p>
    <w:p>
      <w:pPr>
        <w:bidi/>
        <w:spacing w:after="80"/>
        <w:jc w:val="right"/>
      </w:pPr>
      <w:r>
        <w:rPr>
          <w:rFonts w:ascii="Arial" w:cs="Arial" w:eastAsia="Arial" w:hAnsi="Arial"/>
          <w:b/>
          <w:bCs/>
          <w:color w:val="0C447C"/>
          <w:sz w:val="20"/>
          <w:szCs w:val="20"/>
        </w:rPr>
        <w:t xml:space="preserve">DA   </w:t>
      </w:r>
      <w:r>
        <w:rPr>
          <w:rFonts w:ascii="Traditional Arabic" w:cs="Traditional Arabic" w:eastAsia="Traditional Arabic" w:hAnsi="Traditional Arabic"/>
          <w:b w:val="false"/>
          <w:bCs w:val="false"/>
          <w:color w:val="000000"/>
          <w:sz w:val="20"/>
          <w:szCs w:val="20"/>
        </w:rPr>
        <w:t xml:space="preserve">Demande d'Achat — طلب الشراء الداخلي</w:t>
      </w:r>
    </w:p>
    <w:p>
      <w:pPr>
        <w:bidi/>
        <w:spacing w:after="80"/>
        <w:jc w:val="right"/>
      </w:pPr>
      <w:r>
        <w:rPr>
          <w:rFonts w:ascii="Arial" w:cs="Arial" w:eastAsia="Arial" w:hAnsi="Arial"/>
          <w:b/>
          <w:bCs/>
          <w:color w:val="0C447C"/>
          <w:sz w:val="20"/>
          <w:szCs w:val="20"/>
        </w:rPr>
        <w:t xml:space="preserve">BC   </w:t>
      </w:r>
      <w:r>
        <w:rPr>
          <w:rFonts w:ascii="Traditional Arabic" w:cs="Traditional Arabic" w:eastAsia="Traditional Arabic" w:hAnsi="Traditional Arabic"/>
          <w:b w:val="false"/>
          <w:bCs w:val="false"/>
          <w:color w:val="000000"/>
          <w:sz w:val="20"/>
          <w:szCs w:val="20"/>
        </w:rPr>
        <w:t xml:space="preserve">Bon de Commande — أمر الشراء</w:t>
      </w:r>
    </w:p>
    <w:p>
      <w:pPr>
        <w:bidi/>
        <w:spacing w:after="80"/>
        <w:jc w:val="right"/>
      </w:pPr>
      <w:r>
        <w:rPr>
          <w:rFonts w:ascii="Arial" w:cs="Arial" w:eastAsia="Arial" w:hAnsi="Arial"/>
          <w:b/>
          <w:bCs/>
          <w:color w:val="0C447C"/>
          <w:sz w:val="20"/>
          <w:szCs w:val="20"/>
        </w:rPr>
        <w:t xml:space="preserve">BR   </w:t>
      </w:r>
      <w:r>
        <w:rPr>
          <w:rFonts w:ascii="Traditional Arabic" w:cs="Traditional Arabic" w:eastAsia="Traditional Arabic" w:hAnsi="Traditional Arabic"/>
          <w:b w:val="false"/>
          <w:bCs w:val="false"/>
          <w:color w:val="000000"/>
          <w:sz w:val="20"/>
          <w:szCs w:val="20"/>
        </w:rPr>
        <w:t xml:space="preserve">Bon de Réception — وصل الاستلام</w:t>
      </w:r>
    </w:p>
    <w:p>
      <w:pPr>
        <w:bidi/>
        <w:spacing w:after="80"/>
        <w:jc w:val="right"/>
      </w:pPr>
      <w:r>
        <w:rPr>
          <w:rFonts w:ascii="Arial" w:cs="Arial" w:eastAsia="Arial" w:hAnsi="Arial"/>
          <w:b/>
          <w:bCs/>
          <w:color w:val="0C447C"/>
          <w:sz w:val="20"/>
          <w:szCs w:val="20"/>
        </w:rPr>
        <w:t xml:space="preserve">BS   </w:t>
      </w:r>
      <w:r>
        <w:rPr>
          <w:rFonts w:ascii="Traditional Arabic" w:cs="Traditional Arabic" w:eastAsia="Traditional Arabic" w:hAnsi="Traditional Arabic"/>
          <w:b w:val="false"/>
          <w:bCs w:val="false"/>
          <w:color w:val="000000"/>
          <w:sz w:val="20"/>
          <w:szCs w:val="20"/>
        </w:rPr>
        <w:t xml:space="preserve">Bon de Sortie — وصل الإخراج</w:t>
      </w:r>
    </w:p>
    <w:p>
      <w:pPr>
        <w:bidi/>
        <w:spacing w:after="80"/>
        <w:jc w:val="right"/>
      </w:pPr>
      <w:r>
        <w:rPr>
          <w:rFonts w:ascii="Arial" w:cs="Arial" w:eastAsia="Arial" w:hAnsi="Arial"/>
          <w:b/>
          <w:bCs/>
          <w:color w:val="0C447C"/>
          <w:sz w:val="20"/>
          <w:szCs w:val="20"/>
        </w:rPr>
        <w:t xml:space="preserve">CMJ   </w:t>
      </w:r>
      <w:r>
        <w:rPr>
          <w:rFonts w:ascii="Traditional Arabic" w:cs="Traditional Arabic" w:eastAsia="Traditional Arabic" w:hAnsi="Traditional Arabic"/>
          <w:b w:val="false"/>
          <w:bCs w:val="false"/>
          <w:color w:val="000000"/>
          <w:sz w:val="20"/>
          <w:szCs w:val="20"/>
        </w:rPr>
        <w:t xml:space="preserve">Consommation Moyenne Journalière — الاستهلاك اليومي المتوسط</w:t>
      </w:r>
    </w:p>
    <w:p>
      <w:r>
        <w:br w:type="page"/>
      </w:r>
    </w:p>
    <w:p>
      <w:pPr>
        <w:bidi/>
        <w:spacing w:before="0" w:after="220" w:line="360" w:lineRule="auto"/>
        <w:jc w:val="right"/>
      </w:pPr>
      <w:r>
        <w:rPr>
          <w:rFonts w:ascii="Traditional Arabic" w:cs="Traditional Arabic" w:eastAsia="Traditional Arabic" w:hAnsi="Traditional Arabic"/>
          <w:b/>
          <w:bCs/>
          <w:color w:val="1B2631"/>
          <w:sz w:val="32"/>
          <w:szCs w:val="32"/>
        </w:rPr>
        <w:t xml:space="preserve">قائمة الجداول</w:t>
      </w:r>
    </w:p>
    <w:p>
      <w:pPr>
        <w:bidi/>
        <w:spacing w:after="80"/>
        <w:jc w:val="right"/>
      </w:pPr>
      <w:r>
        <w:rPr>
          <w:rFonts w:ascii="Traditional Arabic" w:cs="Traditional Arabic" w:eastAsia="Traditional Arabic" w:hAnsi="Traditional Arabic"/>
          <w:b/>
          <w:bCs/>
          <w:color w:val="0C447C"/>
          <w:sz w:val="20"/>
          <w:szCs w:val="20"/>
        </w:rPr>
        <w:t xml:space="preserve">الجدول رقم (01) — </w:t>
      </w:r>
      <w:r>
        <w:rPr>
          <w:rFonts w:ascii="Traditional Arabic" w:cs="Traditional Arabic" w:eastAsia="Traditional Arabic" w:hAnsi="Traditional Arabic"/>
          <w:b w:val="false"/>
          <w:bCs w:val="false"/>
          <w:color w:val="000000"/>
          <w:sz w:val="20"/>
          <w:szCs w:val="20"/>
        </w:rPr>
        <w:t xml:space="preserve">جدول مقارنة طرق التقييم (FIFO / LIFO / CMUP)</w:t>
      </w:r>
      <w:r>
        <w:rPr>
          <w:rFonts w:ascii="Traditional Arabic" w:cs="Traditional Arabic" w:eastAsia="Traditional Arabic" w:hAnsi="Traditional Arabic"/>
          <w:b w:val="false"/>
          <w:bCs w:val="false"/>
          <w:color w:val="AAAAAA"/>
          <w:sz w:val="20"/>
          <w:szCs w:val="20"/>
        </w:rPr>
        <w:t xml:space="preserve">  ............  </w:t>
      </w:r>
      <w:r>
        <w:rPr>
          <w:rFonts w:ascii="Traditional Arabic" w:cs="Traditional Arabic" w:eastAsia="Traditional Arabic" w:hAnsi="Traditional Arabic"/>
          <w:b w:val="false"/>
          <w:bCs w:val="false"/>
          <w:color w:val="555555"/>
          <w:sz w:val="20"/>
          <w:szCs w:val="20"/>
        </w:rPr>
        <w:t xml:space="preserve">الفصل الأول</w:t>
      </w:r>
    </w:p>
    <w:p>
      <w:pPr>
        <w:bidi/>
        <w:spacing w:after="80"/>
        <w:jc w:val="right"/>
      </w:pPr>
      <w:r>
        <w:rPr>
          <w:rFonts w:ascii="Traditional Arabic" w:cs="Traditional Arabic" w:eastAsia="Traditional Arabic" w:hAnsi="Traditional Arabic"/>
          <w:b/>
          <w:bCs/>
          <w:color w:val="0C447C"/>
          <w:sz w:val="20"/>
          <w:szCs w:val="20"/>
        </w:rPr>
        <w:t xml:space="preserve">الجدول رقم (02) — </w:t>
      </w:r>
      <w:r>
        <w:rPr>
          <w:rFonts w:ascii="Traditional Arabic" w:cs="Traditional Arabic" w:eastAsia="Traditional Arabic" w:hAnsi="Traditional Arabic"/>
          <w:b w:val="false"/>
          <w:bCs w:val="false"/>
          <w:color w:val="000000"/>
          <w:sz w:val="20"/>
          <w:szCs w:val="20"/>
        </w:rPr>
        <w:t xml:space="preserve">جدول تطبيق CMUP على رزم الورق A4</w:t>
      </w:r>
      <w:r>
        <w:rPr>
          <w:rFonts w:ascii="Traditional Arabic" w:cs="Traditional Arabic" w:eastAsia="Traditional Arabic" w:hAnsi="Traditional Arabic"/>
          <w:b w:val="false"/>
          <w:bCs w:val="false"/>
          <w:color w:val="AAAAAA"/>
          <w:sz w:val="20"/>
          <w:szCs w:val="20"/>
        </w:rPr>
        <w:t xml:space="preserve">  ............  </w:t>
      </w:r>
      <w:r>
        <w:rPr>
          <w:rFonts w:ascii="Traditional Arabic" w:cs="Traditional Arabic" w:eastAsia="Traditional Arabic" w:hAnsi="Traditional Arabic"/>
          <w:b w:val="false"/>
          <w:bCs w:val="false"/>
          <w:color w:val="555555"/>
          <w:sz w:val="20"/>
          <w:szCs w:val="20"/>
        </w:rPr>
        <w:t xml:space="preserve">الفصل الأول</w:t>
      </w:r>
    </w:p>
    <w:p>
      <w:pPr>
        <w:bidi/>
        <w:spacing w:after="80"/>
        <w:jc w:val="right"/>
      </w:pPr>
      <w:r>
        <w:rPr>
          <w:rFonts w:ascii="Traditional Arabic" w:cs="Traditional Arabic" w:eastAsia="Traditional Arabic" w:hAnsi="Traditional Arabic"/>
          <w:b/>
          <w:bCs/>
          <w:color w:val="0C447C"/>
          <w:sz w:val="20"/>
          <w:szCs w:val="20"/>
        </w:rPr>
        <w:t xml:space="preserve">الجدول رقم (03) — </w:t>
      </w:r>
      <w:r>
        <w:rPr>
          <w:rFonts w:ascii="Traditional Arabic" w:cs="Traditional Arabic" w:eastAsia="Traditional Arabic" w:hAnsi="Traditional Arabic"/>
          <w:b w:val="false"/>
          <w:bCs w:val="false"/>
          <w:color w:val="000000"/>
          <w:sz w:val="20"/>
          <w:szCs w:val="20"/>
        </w:rPr>
        <w:t xml:space="preserve">جدول تقييم الموردين (نظام التنقيط المرجَّح)</w:t>
      </w:r>
      <w:r>
        <w:rPr>
          <w:rFonts w:ascii="Traditional Arabic" w:cs="Traditional Arabic" w:eastAsia="Traditional Arabic" w:hAnsi="Traditional Arabic"/>
          <w:b w:val="false"/>
          <w:bCs w:val="false"/>
          <w:color w:val="AAAAAA"/>
          <w:sz w:val="20"/>
          <w:szCs w:val="20"/>
        </w:rPr>
        <w:t xml:space="preserve">  ............  </w:t>
      </w:r>
      <w:r>
        <w:rPr>
          <w:rFonts w:ascii="Traditional Arabic" w:cs="Traditional Arabic" w:eastAsia="Traditional Arabic" w:hAnsi="Traditional Arabic"/>
          <w:b w:val="false"/>
          <w:bCs w:val="false"/>
          <w:color w:val="555555"/>
          <w:sz w:val="20"/>
          <w:szCs w:val="20"/>
        </w:rPr>
        <w:t xml:space="preserve">الفصل الأول</w:t>
      </w:r>
    </w:p>
    <w:p>
      <w:pPr>
        <w:bidi/>
        <w:spacing w:after="80"/>
        <w:jc w:val="right"/>
      </w:pPr>
      <w:r>
        <w:rPr>
          <w:rFonts w:ascii="Traditional Arabic" w:cs="Traditional Arabic" w:eastAsia="Traditional Arabic" w:hAnsi="Traditional Arabic"/>
          <w:b/>
          <w:bCs/>
          <w:color w:val="0C447C"/>
          <w:sz w:val="20"/>
          <w:szCs w:val="20"/>
        </w:rPr>
        <w:t xml:space="preserve">الجدول رقم (04) — </w:t>
      </w:r>
      <w:r>
        <w:rPr>
          <w:rFonts w:ascii="Traditional Arabic" w:cs="Traditional Arabic" w:eastAsia="Traditional Arabic" w:hAnsi="Traditional Arabic"/>
          <w:b w:val="false"/>
          <w:bCs w:val="false"/>
          <w:color w:val="000000"/>
          <w:sz w:val="20"/>
          <w:szCs w:val="20"/>
        </w:rPr>
        <w:t xml:space="preserve">نقاط الضعف الهيكلية في مخزن مديرية التربية</w:t>
      </w:r>
      <w:r>
        <w:rPr>
          <w:rFonts w:ascii="Traditional Arabic" w:cs="Traditional Arabic" w:eastAsia="Traditional Arabic" w:hAnsi="Traditional Arabic"/>
          <w:b w:val="false"/>
          <w:bCs w:val="false"/>
          <w:color w:val="AAAAAA"/>
          <w:sz w:val="20"/>
          <w:szCs w:val="20"/>
        </w:rPr>
        <w:t xml:space="preserve">  ............  </w:t>
      </w:r>
      <w:r>
        <w:rPr>
          <w:rFonts w:ascii="Traditional Arabic" w:cs="Traditional Arabic" w:eastAsia="Traditional Arabic" w:hAnsi="Traditional Arabic"/>
          <w:b w:val="false"/>
          <w:bCs w:val="false"/>
          <w:color w:val="555555"/>
          <w:sz w:val="20"/>
          <w:szCs w:val="20"/>
        </w:rPr>
        <w:t xml:space="preserve">الفصل الثالث</w:t>
      </w:r>
    </w:p>
    <w:p>
      <w:pPr>
        <w:bidi/>
        <w:spacing w:after="80"/>
        <w:jc w:val="right"/>
      </w:pPr>
      <w:r>
        <w:rPr>
          <w:rFonts w:ascii="Traditional Arabic" w:cs="Traditional Arabic" w:eastAsia="Traditional Arabic" w:hAnsi="Traditional Arabic"/>
          <w:b/>
          <w:bCs/>
          <w:color w:val="0C447C"/>
          <w:sz w:val="20"/>
          <w:szCs w:val="20"/>
        </w:rPr>
        <w:t xml:space="preserve">الجدول رقم (05) — </w:t>
      </w:r>
      <w:r>
        <w:rPr>
          <w:rFonts w:ascii="Traditional Arabic" w:cs="Traditional Arabic" w:eastAsia="Traditional Arabic" w:hAnsi="Traditional Arabic"/>
          <w:b w:val="false"/>
          <w:bCs w:val="false"/>
          <w:color w:val="000000"/>
          <w:sz w:val="20"/>
          <w:szCs w:val="20"/>
        </w:rPr>
        <w:t xml:space="preserve">تصنيف ABC لمواد مخزن مديرية التربية</w:t>
      </w:r>
      <w:r>
        <w:rPr>
          <w:rFonts w:ascii="Traditional Arabic" w:cs="Traditional Arabic" w:eastAsia="Traditional Arabic" w:hAnsi="Traditional Arabic"/>
          <w:b w:val="false"/>
          <w:bCs w:val="false"/>
          <w:color w:val="AAAAAA"/>
          <w:sz w:val="20"/>
          <w:szCs w:val="20"/>
        </w:rPr>
        <w:t xml:space="preserve">  ............  </w:t>
      </w:r>
      <w:r>
        <w:rPr>
          <w:rFonts w:ascii="Traditional Arabic" w:cs="Traditional Arabic" w:eastAsia="Traditional Arabic" w:hAnsi="Traditional Arabic"/>
          <w:b w:val="false"/>
          <w:bCs w:val="false"/>
          <w:color w:val="555555"/>
          <w:sz w:val="20"/>
          <w:szCs w:val="20"/>
        </w:rPr>
        <w:t xml:space="preserve">الفصل الثالث</w:t>
      </w:r>
    </w:p>
    <w:p>
      <w:pPr>
        <w:bidi/>
        <w:spacing w:after="80"/>
        <w:jc w:val="right"/>
      </w:pPr>
      <w:r>
        <w:rPr>
          <w:rFonts w:ascii="Traditional Arabic" w:cs="Traditional Arabic" w:eastAsia="Traditional Arabic" w:hAnsi="Traditional Arabic"/>
          <w:b/>
          <w:bCs/>
          <w:color w:val="0C447C"/>
          <w:sz w:val="20"/>
          <w:szCs w:val="20"/>
        </w:rPr>
        <w:t xml:space="preserve">الجدول رقم (06) — </w:t>
      </w:r>
      <w:r>
        <w:rPr>
          <w:rFonts w:ascii="Traditional Arabic" w:cs="Traditional Arabic" w:eastAsia="Traditional Arabic" w:hAnsi="Traditional Arabic"/>
          <w:b w:val="false"/>
          <w:bCs w:val="false"/>
          <w:color w:val="000000"/>
          <w:sz w:val="20"/>
          <w:szCs w:val="20"/>
        </w:rPr>
        <w:t xml:space="preserve">معاملات نموذج ويلسون المُعتمَدة — رزم الورق A4</w:t>
      </w:r>
      <w:r>
        <w:rPr>
          <w:rFonts w:ascii="Traditional Arabic" w:cs="Traditional Arabic" w:eastAsia="Traditional Arabic" w:hAnsi="Traditional Arabic"/>
          <w:b w:val="false"/>
          <w:bCs w:val="false"/>
          <w:color w:val="AAAAAA"/>
          <w:sz w:val="20"/>
          <w:szCs w:val="20"/>
        </w:rPr>
        <w:t xml:space="preserve">  ............  </w:t>
      </w:r>
      <w:r>
        <w:rPr>
          <w:rFonts w:ascii="Traditional Arabic" w:cs="Traditional Arabic" w:eastAsia="Traditional Arabic" w:hAnsi="Traditional Arabic"/>
          <w:b w:val="false"/>
          <w:bCs w:val="false"/>
          <w:color w:val="555555"/>
          <w:sz w:val="20"/>
          <w:szCs w:val="20"/>
        </w:rPr>
        <w:t xml:space="preserve">الفصل الثالث</w:t>
      </w:r>
    </w:p>
    <w:p>
      <w:pPr>
        <w:bidi/>
        <w:spacing w:after="80"/>
        <w:jc w:val="right"/>
      </w:pPr>
      <w:r>
        <w:rPr>
          <w:rFonts w:ascii="Traditional Arabic" w:cs="Traditional Arabic" w:eastAsia="Traditional Arabic" w:hAnsi="Traditional Arabic"/>
          <w:b/>
          <w:bCs/>
          <w:color w:val="0C447C"/>
          <w:sz w:val="20"/>
          <w:szCs w:val="20"/>
        </w:rPr>
        <w:t xml:space="preserve">الجدول رقم (07) — </w:t>
      </w:r>
      <w:r>
        <w:rPr>
          <w:rFonts w:ascii="Traditional Arabic" w:cs="Traditional Arabic" w:eastAsia="Traditional Arabic" w:hAnsi="Traditional Arabic"/>
          <w:b w:val="false"/>
          <w:bCs w:val="false"/>
          <w:color w:val="000000"/>
          <w:sz w:val="20"/>
          <w:szCs w:val="20"/>
        </w:rPr>
        <w:t xml:space="preserve">نتائج تطبيق نموذج ويلسون — القيم المحسوبة</w:t>
      </w:r>
      <w:r>
        <w:rPr>
          <w:rFonts w:ascii="Traditional Arabic" w:cs="Traditional Arabic" w:eastAsia="Traditional Arabic" w:hAnsi="Traditional Arabic"/>
          <w:b w:val="false"/>
          <w:bCs w:val="false"/>
          <w:color w:val="AAAAAA"/>
          <w:sz w:val="20"/>
          <w:szCs w:val="20"/>
        </w:rPr>
        <w:t xml:space="preserve">  ............  </w:t>
      </w:r>
      <w:r>
        <w:rPr>
          <w:rFonts w:ascii="Traditional Arabic" w:cs="Traditional Arabic" w:eastAsia="Traditional Arabic" w:hAnsi="Traditional Arabic"/>
          <w:b w:val="false"/>
          <w:bCs w:val="false"/>
          <w:color w:val="555555"/>
          <w:sz w:val="20"/>
          <w:szCs w:val="20"/>
        </w:rPr>
        <w:t xml:space="preserve">الفصل الثالث</w:t>
      </w:r>
    </w:p>
    <w:p>
      <w:pPr>
        <w:bidi/>
        <w:spacing w:after="80"/>
        <w:jc w:val="right"/>
      </w:pPr>
      <w:r>
        <w:rPr>
          <w:rFonts w:ascii="Traditional Arabic" w:cs="Traditional Arabic" w:eastAsia="Traditional Arabic" w:hAnsi="Traditional Arabic"/>
          <w:b/>
          <w:bCs/>
          <w:color w:val="0C447C"/>
          <w:sz w:val="20"/>
          <w:szCs w:val="20"/>
        </w:rPr>
        <w:t xml:space="preserve">الجدول رقم (08) — </w:t>
      </w:r>
      <w:r>
        <w:rPr>
          <w:rFonts w:ascii="Traditional Arabic" w:cs="Traditional Arabic" w:eastAsia="Traditional Arabic" w:hAnsi="Traditional Arabic"/>
          <w:b w:val="false"/>
          <w:bCs w:val="false"/>
          <w:color w:val="000000"/>
          <w:sz w:val="20"/>
          <w:szCs w:val="20"/>
        </w:rPr>
        <w:t xml:space="preserve">بنية نظام ERP_Academie_v5_final — الصفحات التسع</w:t>
      </w:r>
      <w:r>
        <w:rPr>
          <w:rFonts w:ascii="Traditional Arabic" w:cs="Traditional Arabic" w:eastAsia="Traditional Arabic" w:hAnsi="Traditional Arabic"/>
          <w:b w:val="false"/>
          <w:bCs w:val="false"/>
          <w:color w:val="AAAAAA"/>
          <w:sz w:val="20"/>
          <w:szCs w:val="20"/>
        </w:rPr>
        <w:t xml:space="preserve">  ............  </w:t>
      </w:r>
      <w:r>
        <w:rPr>
          <w:rFonts w:ascii="Traditional Arabic" w:cs="Traditional Arabic" w:eastAsia="Traditional Arabic" w:hAnsi="Traditional Arabic"/>
          <w:b w:val="false"/>
          <w:bCs w:val="false"/>
          <w:color w:val="555555"/>
          <w:sz w:val="20"/>
          <w:szCs w:val="20"/>
        </w:rPr>
        <w:t xml:space="preserve">الفصل الرابع</w:t>
      </w:r>
    </w:p>
    <w:p>
      <w:pPr>
        <w:bidi/>
        <w:spacing w:after="80"/>
        <w:jc w:val="right"/>
      </w:pPr>
      <w:r>
        <w:rPr>
          <w:rFonts w:ascii="Traditional Arabic" w:cs="Traditional Arabic" w:eastAsia="Traditional Arabic" w:hAnsi="Traditional Arabic"/>
          <w:b/>
          <w:bCs/>
          <w:color w:val="0C447C"/>
          <w:sz w:val="20"/>
          <w:szCs w:val="20"/>
        </w:rPr>
        <w:t xml:space="preserve">الجدول رقم (09) — </w:t>
      </w:r>
      <w:r>
        <w:rPr>
          <w:rFonts w:ascii="Traditional Arabic" w:cs="Traditional Arabic" w:eastAsia="Traditional Arabic" w:hAnsi="Traditional Arabic"/>
          <w:b w:val="false"/>
          <w:bCs w:val="false"/>
          <w:color w:val="000000"/>
          <w:sz w:val="20"/>
          <w:szCs w:val="20"/>
        </w:rPr>
        <w:t xml:space="preserve">الوظائف الآلية المُبرمَجة بـ VBA وأثرها التشغيلي</w:t>
      </w:r>
      <w:r>
        <w:rPr>
          <w:rFonts w:ascii="Traditional Arabic" w:cs="Traditional Arabic" w:eastAsia="Traditional Arabic" w:hAnsi="Traditional Arabic"/>
          <w:b w:val="false"/>
          <w:bCs w:val="false"/>
          <w:color w:val="AAAAAA"/>
          <w:sz w:val="20"/>
          <w:szCs w:val="20"/>
        </w:rPr>
        <w:t xml:space="preserve">  ............  </w:t>
      </w:r>
      <w:r>
        <w:rPr>
          <w:rFonts w:ascii="Traditional Arabic" w:cs="Traditional Arabic" w:eastAsia="Traditional Arabic" w:hAnsi="Traditional Arabic"/>
          <w:b w:val="false"/>
          <w:bCs w:val="false"/>
          <w:color w:val="555555"/>
          <w:sz w:val="20"/>
          <w:szCs w:val="20"/>
        </w:rPr>
        <w:t xml:space="preserve">الفصل الرابع</w:t>
      </w:r>
    </w:p>
    <w:p>
      <w:pPr>
        <w:bidi/>
        <w:spacing w:after="80"/>
        <w:jc w:val="right"/>
      </w:pPr>
      <w:r>
        <w:rPr>
          <w:rFonts w:ascii="Traditional Arabic" w:cs="Traditional Arabic" w:eastAsia="Traditional Arabic" w:hAnsi="Traditional Arabic"/>
          <w:b/>
          <w:bCs/>
          <w:color w:val="0C447C"/>
          <w:sz w:val="20"/>
          <w:szCs w:val="20"/>
        </w:rPr>
        <w:t xml:space="preserve">الجدول رقم (10) — </w:t>
      </w:r>
      <w:r>
        <w:rPr>
          <w:rFonts w:ascii="Traditional Arabic" w:cs="Traditional Arabic" w:eastAsia="Traditional Arabic" w:hAnsi="Traditional Arabic"/>
          <w:b w:val="false"/>
          <w:bCs w:val="false"/>
          <w:color w:val="000000"/>
          <w:sz w:val="20"/>
          <w:szCs w:val="20"/>
        </w:rPr>
        <w:t xml:space="preserve">مقارنة مؤشرات الأداء قبل وبعد تطبيق النظام</w:t>
      </w:r>
      <w:r>
        <w:rPr>
          <w:rFonts w:ascii="Traditional Arabic" w:cs="Traditional Arabic" w:eastAsia="Traditional Arabic" w:hAnsi="Traditional Arabic"/>
          <w:b w:val="false"/>
          <w:bCs w:val="false"/>
          <w:color w:val="AAAAAA"/>
          <w:sz w:val="20"/>
          <w:szCs w:val="20"/>
        </w:rPr>
        <w:t xml:space="preserve">  ............  </w:t>
      </w:r>
      <w:r>
        <w:rPr>
          <w:rFonts w:ascii="Traditional Arabic" w:cs="Traditional Arabic" w:eastAsia="Traditional Arabic" w:hAnsi="Traditional Arabic"/>
          <w:b w:val="false"/>
          <w:bCs w:val="false"/>
          <w:color w:val="555555"/>
          <w:sz w:val="20"/>
          <w:szCs w:val="20"/>
        </w:rPr>
        <w:t xml:space="preserve">الفصل الرابع</w:t>
      </w:r>
    </w:p>
    <w:p>
      <w:pPr>
        <w:bidi/>
        <w:spacing w:after="80"/>
        <w:jc w:val="right"/>
      </w:pPr>
      <w:r>
        <w:rPr>
          <w:rFonts w:ascii="Traditional Arabic" w:cs="Traditional Arabic" w:eastAsia="Traditional Arabic" w:hAnsi="Traditional Arabic"/>
          <w:b/>
          <w:bCs/>
          <w:color w:val="0C447C"/>
          <w:sz w:val="20"/>
          <w:szCs w:val="20"/>
        </w:rPr>
        <w:t xml:space="preserve">الجدول رقم (11) — </w:t>
      </w:r>
      <w:r>
        <w:rPr>
          <w:rFonts w:ascii="Traditional Arabic" w:cs="Traditional Arabic" w:eastAsia="Traditional Arabic" w:hAnsi="Traditional Arabic"/>
          <w:b w:val="false"/>
          <w:bCs w:val="false"/>
          <w:color w:val="000000"/>
          <w:sz w:val="20"/>
          <w:szCs w:val="20"/>
        </w:rPr>
        <w:t xml:space="preserve">نتائج التحقق من فرضيتَي البحث</w:t>
      </w:r>
      <w:r>
        <w:rPr>
          <w:rFonts w:ascii="Traditional Arabic" w:cs="Traditional Arabic" w:eastAsia="Traditional Arabic" w:hAnsi="Traditional Arabic"/>
          <w:b w:val="false"/>
          <w:bCs w:val="false"/>
          <w:color w:val="AAAAAA"/>
          <w:sz w:val="20"/>
          <w:szCs w:val="20"/>
        </w:rPr>
        <w:t xml:space="preserve">  ............  </w:t>
      </w:r>
      <w:r>
        <w:rPr>
          <w:rFonts w:ascii="Traditional Arabic" w:cs="Traditional Arabic" w:eastAsia="Traditional Arabic" w:hAnsi="Traditional Arabic"/>
          <w:b w:val="false"/>
          <w:bCs w:val="false"/>
          <w:color w:val="555555"/>
          <w:sz w:val="20"/>
          <w:szCs w:val="20"/>
        </w:rPr>
        <w:t xml:space="preserve">الفصل الرابع</w:t>
      </w:r>
    </w:p>
    <w:p>
      <w:pPr>
        <w:bidi/>
        <w:spacing w:after="80"/>
        <w:jc w:val="right"/>
      </w:pPr>
      <w:r>
        <w:rPr>
          <w:rFonts w:ascii="Traditional Arabic" w:cs="Traditional Arabic" w:eastAsia="Traditional Arabic" w:hAnsi="Traditional Arabic"/>
          <w:b/>
          <w:bCs/>
          <w:color w:val="0C447C"/>
          <w:sz w:val="20"/>
          <w:szCs w:val="20"/>
        </w:rPr>
        <w:t xml:space="preserve">الجدول رقم (12) — </w:t>
      </w:r>
      <w:r>
        <w:rPr>
          <w:rFonts w:ascii="Traditional Arabic" w:cs="Traditional Arabic" w:eastAsia="Traditional Arabic" w:hAnsi="Traditional Arabic"/>
          <w:b w:val="false"/>
          <w:bCs w:val="false"/>
          <w:color w:val="000000"/>
          <w:sz w:val="20"/>
          <w:szCs w:val="20"/>
        </w:rPr>
        <w:t xml:space="preserve">التوصيات المقدَّمة لمديرية التربية لولاية البيض</w:t>
      </w:r>
      <w:r>
        <w:rPr>
          <w:rFonts w:ascii="Traditional Arabic" w:cs="Traditional Arabic" w:eastAsia="Traditional Arabic" w:hAnsi="Traditional Arabic"/>
          <w:b w:val="false"/>
          <w:bCs w:val="false"/>
          <w:color w:val="AAAAAA"/>
          <w:sz w:val="20"/>
          <w:szCs w:val="20"/>
        </w:rPr>
        <w:t xml:space="preserve">  ............  </w:t>
      </w:r>
      <w:r>
        <w:rPr>
          <w:rFonts w:ascii="Traditional Arabic" w:cs="Traditional Arabic" w:eastAsia="Traditional Arabic" w:hAnsi="Traditional Arabic"/>
          <w:b w:val="false"/>
          <w:bCs w:val="false"/>
          <w:color w:val="555555"/>
          <w:sz w:val="20"/>
          <w:szCs w:val="20"/>
        </w:rPr>
        <w:t xml:space="preserve">الفصل الرابع</w:t>
      </w:r>
    </w:p>
    <w:p>
      <w:r>
        <w:br w:type="page"/>
      </w:r>
    </w:p>
    <w:p>
      <w:pPr>
        <w:bidi/>
        <w:spacing w:before="0" w:after="220" w:line="360" w:lineRule="auto"/>
        <w:jc w:val="right"/>
      </w:pPr>
      <w:r>
        <w:rPr>
          <w:rFonts w:ascii="Traditional Arabic" w:cs="Traditional Arabic" w:eastAsia="Traditional Arabic" w:hAnsi="Traditional Arabic"/>
          <w:b/>
          <w:bCs/>
          <w:color w:val="1B2631"/>
          <w:sz w:val="32"/>
          <w:szCs w:val="32"/>
        </w:rPr>
        <w:t xml:space="preserve">مقدمة عامة</w:t>
      </w:r>
    </w:p>
    <w:p>
      <w:pPr>
        <w:bidi/>
        <w:spacing w:before="200" w:after="120" w:line="360" w:lineRule="auto"/>
        <w:jc w:val="right"/>
      </w:pPr>
      <w:r>
        <w:rPr>
          <w:rFonts w:ascii="Traditional Arabic" w:cs="Traditional Arabic" w:eastAsia="Traditional Arabic" w:hAnsi="Traditional Arabic"/>
          <w:b/>
          <w:bCs/>
          <w:color w:val="1A5276"/>
          <w:sz w:val="26"/>
          <w:szCs w:val="26"/>
        </w:rPr>
        <w:t xml:space="preserve">1.  السياق العام</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يشهد العالم اليوم تحولاً جذرياً نحو الرقمنة الشاملة في مختلف القطاعات الاقتصادية والإدارية، إذ لم تعد الأساليب اليدوية التقليدية قادرةً على مواكبة الوتيرة المتسارعة للاحتياجات وتعقيدات سلاسل التوريد. وفي هذا الإطار، تُمثّل وظيفة تسيير المخزونات حلقةً محوريةً في منظومة الإدارة العمومية، لا سيما في المؤسسات التعليمية التي تتوقف على كفاءة تموينها استمراريةُ العملية التربوية برمّتها.</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تُعدّ مديرية التربية لولاية البيض واحدةً من المؤسسات العمومية الاستراتيجية التي تضطلع بالإشراف على قطاع التعليم في ولاية جنوبية نائية تبعد نحو 450 كيلومتراً جنوب غرب الجزائر العاصمة. ويُعدّ مخزنها الرئيسي الشريانَ اللوجستي الذي يُغذّي عشرات المؤسسات التعليمية بالتجهيزات المدرسية واللوازم المكتبية والمستهلكات الإدارية.</w:t>
      </w:r>
    </w:p>
    <w:p>
      <w:pPr>
        <w:bidi/>
        <w:spacing w:before="200" w:after="120" w:line="360" w:lineRule="auto"/>
        <w:jc w:val="right"/>
      </w:pPr>
      <w:r>
        <w:rPr>
          <w:rFonts w:ascii="Traditional Arabic" w:cs="Traditional Arabic" w:eastAsia="Traditional Arabic" w:hAnsi="Traditional Arabic"/>
          <w:b/>
          <w:bCs/>
          <w:color w:val="1A5276"/>
          <w:sz w:val="26"/>
          <w:szCs w:val="26"/>
        </w:rPr>
        <w:t xml:space="preserve">2.  الإشكالية</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على الرغم من أهمية هذا المخزن، فإنه لا يزال يعمل بأساليب تسيير يدوية تقليدية تعتمد على السجلات الورقية وجداول Excel الأولية، مما يُفرز طيفاً من الإشكاليات التشغيلية: نفاد المواد الاستراتيجية في أوقات الذروة، وصعوبة تتبع حركة المخزون آنياً، وطول مدة إجراء الجرد الدوري، وانعدام مؤشرات الأداء الكمية. من هذا المنطلق تبرز التساؤلات البحثية الآتية:</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 كيف يمكن أتمتة دورة الشراء والتخزين في مخزن مؤسسة عمومية باستخدام أدوات Microsoft Office المتاحة؟</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 هل يُشكِّل غيابُ آليات التنبيه الآلي بالحد الأدنى للمخزون السببَ الجذري لتكرار حالات النفاد؟</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 وهل يمكن لنظام Mini ERP بسيط (Excel/VBA) أن يُعزِّز الجرد الدائم ويُحسِّن دقة القرارات التموينية؟</w:t>
      </w:r>
    </w:p>
    <w:p>
      <w:pPr>
        <w:bidi/>
        <w:spacing w:before="200" w:after="120" w:line="360" w:lineRule="auto"/>
        <w:jc w:val="right"/>
      </w:pPr>
      <w:r>
        <w:rPr>
          <w:rFonts w:ascii="Traditional Arabic" w:cs="Traditional Arabic" w:eastAsia="Traditional Arabic" w:hAnsi="Traditional Arabic"/>
          <w:b/>
          <w:bCs/>
          <w:color w:val="1A5276"/>
          <w:sz w:val="26"/>
          <w:szCs w:val="26"/>
        </w:rPr>
        <w:t xml:space="preserve">3.  فرضيات البحث</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الفرضية الأولى: غيابُ أدوات المراقبة الآلية (تنبيهات الحد الأدنى ونقطة إعادة الطلب) هو السبب الرئيسي لتكرار حالات نفاد المخزون في مخزن مديرية التربية لولاية البيض خلال المواسم الدراسية والامتحانية.</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الفرضية الثانية: إدخال نظام Mini ERP مبني على Excel/VBA — يتضمن قاموس المواد، تسجيل الحركات، الجرد الدائم، وآليات التنبيه — سيُحسِّن دقة تتبع المخزون ويُقلِّص مدة معالجة الطلبيات بصورة ملموسة.</w:t>
      </w:r>
    </w:p>
    <w:p>
      <w:pPr>
        <w:bidi/>
        <w:spacing w:before="200" w:after="120" w:line="360" w:lineRule="auto"/>
        <w:jc w:val="right"/>
      </w:pPr>
      <w:r>
        <w:rPr>
          <w:rFonts w:ascii="Traditional Arabic" w:cs="Traditional Arabic" w:eastAsia="Traditional Arabic" w:hAnsi="Traditional Arabic"/>
          <w:b/>
          <w:bCs/>
          <w:color w:val="1A5276"/>
          <w:sz w:val="26"/>
          <w:szCs w:val="26"/>
        </w:rPr>
        <w:t xml:space="preserve">4.  أهداف الدراسة</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تسعى هذه المذكرة إلى تحقيق الأهداف الأربعة الآتية: أولاً، تشخيص نظام التخزين الحالي ورسم خريطة شاملة لمواطن الضعف. ثانياً، تطبيق أدوات التحليل الكمي (تحليل ABC، نموذج ويلسون، CMUP) على البيانات الميدانية الفعلية. ثالثاً، تصميم نظام Mini ERP وظيفي قابل للنشر الفوري باستخدام Excel/VBA دون تكاليف ترخيص إضافية. رابعاً، قياس أثر النظام على مؤشرات الأداء اللوجستي وتقديم توصيات مدعومة بأدلة كمية.</w:t>
      </w:r>
    </w:p>
    <w:p>
      <w:pPr>
        <w:bidi/>
        <w:spacing w:before="200" w:after="120" w:line="360" w:lineRule="auto"/>
        <w:jc w:val="right"/>
      </w:pPr>
      <w:r>
        <w:rPr>
          <w:rFonts w:ascii="Traditional Arabic" w:cs="Traditional Arabic" w:eastAsia="Traditional Arabic" w:hAnsi="Traditional Arabic"/>
          <w:b/>
          <w:bCs/>
          <w:color w:val="1A5276"/>
          <w:sz w:val="26"/>
          <w:szCs w:val="26"/>
        </w:rPr>
        <w:t xml:space="preserve">5.  المنهجية</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اعتمد البحث على المنهج الوصفي التحليلي الميداني المدعوم بالنمذجة الوظيفية. جُمعت البيانات من مصادر أولية (ملاحظة مباشرة، مقابلات، وثائق إدارية داخلية) ومصادر ثانوية (مراجع في لوجستيك المخازن وإدارة الموارد). ثم جرى تحليل البيانات بأدوات كمية (ABC، EOQ، CMUP) قبل بناء النموذج التطبيقي والتحقق من نتائجه.</w:t>
      </w:r>
    </w:p>
    <w:p>
      <w:pPr>
        <w:bidi/>
        <w:spacing w:before="200" w:after="120" w:line="360" w:lineRule="auto"/>
        <w:jc w:val="right"/>
      </w:pPr>
      <w:r>
        <w:rPr>
          <w:rFonts w:ascii="Traditional Arabic" w:cs="Traditional Arabic" w:eastAsia="Traditional Arabic" w:hAnsi="Traditional Arabic"/>
          <w:b/>
          <w:bCs/>
          <w:color w:val="1A5276"/>
          <w:sz w:val="26"/>
          <w:szCs w:val="26"/>
        </w:rPr>
        <w:t xml:space="preserve">6.  هيكل المذكرة</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قُسِّمت هذه الدراسة إلى أربعة فصول: يتناول الفصل الأول الإطار النظري الشامل لتسيير المخزونات. ويُقدِّم الفصل الثاني مؤسسة التربص ومصلحة المخازن في سياقها الجغرافي والمؤسسي. ويُخصَّص الفصل الثالث للتشخيص الميداني المعمَّق وتحليل البيانات الفعلية. ويعرض الفصل الرابع الحل المقترح (Mini ERP)، منهجية البناء، ونتائج التطبيق مع الخاتمة العامة والتوصيات.</w:t>
      </w:r>
    </w:p>
    <w:p>
      <w:r>
        <w:br w:type="page"/>
      </w:r>
    </w:p>
    <w:p>
      <w:pPr>
        <w:bidi/>
        <w:spacing w:before="0" w:after="220" w:line="360" w:lineRule="auto"/>
        <w:jc w:val="right"/>
      </w:pPr>
      <w:r>
        <w:rPr>
          <w:rFonts w:ascii="Traditional Arabic" w:cs="Traditional Arabic" w:eastAsia="Traditional Arabic" w:hAnsi="Traditional Arabic"/>
          <w:b/>
          <w:bCs/>
          <w:color w:val="1B2631"/>
          <w:sz w:val="32"/>
          <w:szCs w:val="32"/>
        </w:rPr>
        <w:t xml:space="preserve">الفصل الأول — الإطار النظري: اللوجستيك وتسيير المخزونات</w:t>
      </w:r>
    </w:p>
    <w:p>
      <w:pPr>
        <w:bidi/>
        <w:spacing w:before="80" w:after="120" w:line="360" w:lineRule="auto"/>
        <w:jc w:val="right"/>
      </w:pPr>
      <w:r>
        <w:rPr>
          <w:rFonts w:ascii="Traditional Arabic" w:cs="Traditional Arabic" w:eastAsia="Traditional Arabic" w:hAnsi="Traditional Arabic"/>
          <w:b/>
          <w:bCs/>
          <w:color w:val="1A5276"/>
          <w:sz w:val="24"/>
          <w:szCs w:val="24"/>
        </w:rPr>
        <w:t xml:space="preserve">تمهيد</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يُؤسِّس هذا الفصل الأرضية النظرية الضرورية لفهم إشكالية البحث ومناهج معالجتها، وذلك من خلال تناول مفهوم اللوجستيك وتسيير المخزونات، والأدوات الكمية المستخدمة في التحليل، وصولاً إلى مفهوم أنظمة ERP ودورها في أتمتة العمليات الإدارية.</w:t>
      </w: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1.1  مفهوم اللوجستيك وتسيير المخزونات</w:t>
      </w:r>
    </w:p>
    <w:p>
      <w:pPr>
        <w:bidi/>
        <w:spacing w:before="200" w:after="120" w:line="360" w:lineRule="auto"/>
        <w:jc w:val="right"/>
      </w:pPr>
      <w:r>
        <w:rPr>
          <w:rFonts w:ascii="Traditional Arabic" w:cs="Traditional Arabic" w:eastAsia="Traditional Arabic" w:hAnsi="Traditional Arabic"/>
          <w:b/>
          <w:bCs/>
          <w:color w:val="1A5276"/>
          <w:sz w:val="26"/>
          <w:szCs w:val="26"/>
        </w:rPr>
        <w:t xml:space="preserve">1.1.1  تعريف اللوجستيك</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اللوجستيك هي الوظيفة المكلَّفة بإدارة التدفقات المادية (المواد الأوليّة والمنتجات) والتدفقات المعلوماتية المرتبطة بها، من نقطة الأصل إلى نقطة الاستهلاك، بهدف تلبية متطلبات العملاء بالجودة المطلوبة، في الوقت المناسب، وبأدنى تكلفة ممكنة. تُمثِّل هذه الوظيفة العمود الفقري لأي مؤسسة إنتاجية أو إدارية.</w:t>
      </w:r>
    </w:p>
    <w:p>
      <w:pPr>
        <w:bidi/>
        <w:spacing w:before="200" w:after="120" w:line="360" w:lineRule="auto"/>
        <w:jc w:val="right"/>
      </w:pPr>
      <w:r>
        <w:rPr>
          <w:rFonts w:ascii="Traditional Arabic" w:cs="Traditional Arabic" w:eastAsia="Traditional Arabic" w:hAnsi="Traditional Arabic"/>
          <w:b/>
          <w:bCs/>
          <w:color w:val="1A5276"/>
          <w:sz w:val="26"/>
          <w:szCs w:val="26"/>
        </w:rPr>
        <w:t xml:space="preserve">1.1.2  تعريف تسيير المخزونات</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تسيير المخزونات هو مجموع العمليات التنظيمية والتقنية الرامية إلى ضمان توافر المواد والمنتجات بالكميات المثلى، في الوقت المناسب، وبأقل تكلفة احتفاظ ممكنة. يشمل التسيير الجيد للمخزون: التخطيط للاحتياجات، اتخاذ قرارات الشراء، التحكم في المستويات، والرقابة المستمرة عبر الجرد الدائم.</w:t>
      </w:r>
    </w:p>
    <w:p>
      <w:pPr>
        <w:bidi/>
        <w:spacing w:before="200" w:after="120" w:line="360" w:lineRule="auto"/>
        <w:jc w:val="right"/>
      </w:pPr>
      <w:r>
        <w:rPr>
          <w:rFonts w:ascii="Traditional Arabic" w:cs="Traditional Arabic" w:eastAsia="Traditional Arabic" w:hAnsi="Traditional Arabic"/>
          <w:b/>
          <w:bCs/>
          <w:color w:val="1A5276"/>
          <w:sz w:val="26"/>
          <w:szCs w:val="26"/>
        </w:rPr>
        <w:t xml:space="preserve">1.1.3  أهداف تسيير المخزونات</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يسعى تسيير المخزونات إلى تحقيق توازن دقيق بين هدفين متعارضين: تجنُّب نفاد المخزون (الذي يُعطِّل العمل) من جهة، وتجنُّب التكديس الزائد (الذي يُثقِل التكاليف) من جهة أخرى. ويمكن تلخيص الأهداف في ثلاثة محاور: ضمان الاستمرارية التشغيلية، تعظيم الكفاءة الاقتصادية، وضمان التتبع والشفافية.</w:t>
      </w:r>
    </w:p>
    <w:p>
      <w:pPr>
        <w:bidi/>
        <w:spacing w:after="200" w:before="0" w:line="360" w:lineRule="auto"/>
        <w:jc w:val="center"/>
      </w:pP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1.2  الدورة المستندية في تسيير المخزونات</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الدورة المستندية هي العمود الفقري للرقابة على المخزون. تبدأ بطلب شراء داخلي وتنتهي بتسوية الفاتورة. تشمل الوثائق الرئيسية: طلب الشراء (DA)، أمر الشراء (BC)، وصل الاستلام (BR)، وصل الإخراج (BS)، وبطاقة المخزون التي تُجمِّع كل الحركات مع الرصيد المتراكم — وهي أساس الجرد الدائم.</w:t>
      </w:r>
    </w:p>
    <w:p>
      <w:pPr>
        <w:bidi/>
        <w:spacing w:after="200" w:before="0" w:line="360" w:lineRule="auto"/>
        <w:jc w:val="center"/>
      </w:pP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1.3  طرق تقييم المخزون</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تقييم المخزون يعني تحديد القيمة المالية للمواد المخزَّنة. يُؤثِّر اختيار الطريقة على التكلفة المحاسبية للمخرجات وعلى قيمة المخزون في الميزانية. تُعتمَد ثلاث طرق رئيسية يوضِّحها الجدول الآتي:</w:t>
      </w:r>
    </w:p>
    <w:p>
      <w:pPr>
        <w:bidi/>
        <w:spacing w:after="80" w:before="0" w:line="360" w:lineRule="auto"/>
        <w:jc w:val="center"/>
      </w:pPr>
    </w:p>
    <w:p>
      <w:pPr>
        <w:bidi/>
        <w:spacing w:before="60" w:after="120" w:line="360" w:lineRule="auto"/>
        <w:jc w:val="center"/>
      </w:pPr>
      <w:r>
        <w:rPr>
          <w:rFonts w:ascii="Traditional Arabic" w:cs="Traditional Arabic" w:eastAsia="Traditional Arabic" w:hAnsi="Traditional Arabic"/>
          <w:b/>
          <w:bCs/>
          <w:color w:val="0C447C"/>
          <w:sz w:val="22"/>
          <w:szCs w:val="22"/>
        </w:rPr>
        <w:t xml:space="preserve">الجدول رقم (01) — </w:t>
      </w:r>
      <w:r>
        <w:rPr>
          <w:rFonts w:ascii="Traditional Arabic" w:cs="Traditional Arabic" w:eastAsia="Traditional Arabic" w:hAnsi="Traditional Arabic"/>
          <w:b w:val="false"/>
          <w:bCs w:val="false"/>
          <w:color w:val="333333"/>
          <w:sz w:val="22"/>
          <w:szCs w:val="22"/>
        </w:rPr>
        <w:t xml:space="preserve">مقارنة طرق تقييم المخزون (FIFO / LIFO / CMUP)</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000"/>
        <w:gridCol w:w="1800"/>
        <w:gridCol w:w="1800"/>
      </w:tblGrid>
      <w:tr>
        <w:trPr>
          <w:tblHeader/>
        </w:trPr>
        <w:tc>
          <w:tcPr>
            <w:tcW w:type="dxa" w:w="14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الطريقة</w:t>
            </w:r>
          </w:p>
        </w:tc>
        <w:tc>
          <w:tcPr>
            <w:tcW w:type="dxa" w:w="19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المبدأ</w:t>
            </w:r>
          </w:p>
        </w:tc>
        <w:tc>
          <w:tcPr>
            <w:tcW w:type="dxa" w:w="20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المزايا</w:t>
            </w:r>
          </w:p>
        </w:tc>
        <w:tc>
          <w:tcPr>
            <w:tcW w:type="dxa" w:w="18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العيوب</w:t>
            </w:r>
          </w:p>
        </w:tc>
        <w:tc>
          <w:tcPr>
            <w:tcW w:type="dxa" w:w="18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الاستخدام المُوصى به</w:t>
            </w:r>
          </w:p>
        </w:tc>
      </w:tr>
      <w:tr>
        <w:tc>
          <w:tcPr>
            <w:tcW w:type="dxa" w:w="14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FIFO</w:t>
            </w:r>
          </w:p>
        </w:tc>
        <w:tc>
          <w:tcPr>
            <w:tcW w:type="dxa" w:w="19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الدفعات الأقدم تخرج أولاً</w:t>
            </w:r>
          </w:p>
        </w:tc>
        <w:tc>
          <w:tcPr>
            <w:tcW w:type="dxa" w:w="20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تعكس الواقع الفيزيائي للمخزون</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تُقلِّل الأرباح المحاسبية في فترات ارتفاع الأسعار</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المواد المدرسية، المنتجات القابلة للتلف</w:t>
            </w:r>
          </w:p>
        </w:tc>
      </w:tr>
      <w:tr>
        <w:tc>
          <w:tcPr>
            <w:tcW w:type="dxa" w:w="1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LIFO</w:t>
            </w:r>
          </w:p>
        </w:tc>
        <w:tc>
          <w:tcPr>
            <w:tcW w:type="dxa" w:w="19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الدفعات الأحدث تخرج أولاً</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تكلفة المخرجات قريبة من السوق الراهن</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غير مقبولة في معايير IFRS الدولية</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نادر الاستخدام في الجزائر</w:t>
            </w:r>
          </w:p>
        </w:tc>
      </w:tr>
      <w:tr>
        <w:tc>
          <w:tcPr>
            <w:tcW w:type="dxa" w:w="14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CMUP</w:t>
            </w:r>
          </w:p>
        </w:tc>
        <w:tc>
          <w:tcPr>
            <w:tcW w:type="dxa" w:w="19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متوسط مرجَّح بعد كل إدخال</w:t>
            </w:r>
          </w:p>
        </w:tc>
        <w:tc>
          <w:tcPr>
            <w:tcW w:type="dxa" w:w="20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بسيط، مستقر، ملائم للأنظمة المحوسبة</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يتطلب إعادة الحساب عند كل إدخال</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المؤسسات العمومية الجزائرية ✓</w:t>
            </w:r>
          </w:p>
        </w:tc>
      </w:tr>
    </w:tbl>
    <w:p>
      <w:pPr>
        <w:bidi/>
        <w:spacing w:before="40" w:after="200" w:line="360" w:lineRule="auto"/>
        <w:jc w:val="center"/>
      </w:pPr>
      <w:r>
        <w:rPr>
          <w:rFonts w:ascii="Traditional Arabic" w:cs="Traditional Arabic" w:eastAsia="Traditional Arabic" w:hAnsi="Traditional Arabic"/>
          <w:b w:val="false"/>
          <w:bCs w:val="false"/>
          <w:color w:val="777777"/>
          <w:sz w:val="18"/>
          <w:szCs w:val="18"/>
        </w:rPr>
        <w:t xml:space="preserve">المصدر: إعداد الطالب — مراجع: CNEPD TAG1801 (2024) | Richards &amp; Grinsted (2024)</w:t>
      </w:r>
    </w:p>
    <w:p>
      <w:pPr>
        <w:bidi/>
        <w:spacing w:after="200" w:before="0" w:line="360" w:lineRule="auto"/>
        <w:jc w:val="center"/>
      </w:pPr>
    </w:p>
    <w:p>
      <w:pPr>
        <w:bidi/>
        <w:spacing w:before="200" w:after="120" w:line="360" w:lineRule="auto"/>
        <w:jc w:val="right"/>
      </w:pPr>
      <w:r>
        <w:rPr>
          <w:rFonts w:ascii="Traditional Arabic" w:cs="Traditional Arabic" w:eastAsia="Traditional Arabic" w:hAnsi="Traditional Arabic"/>
          <w:b/>
          <w:bCs/>
          <w:color w:val="1A5276"/>
          <w:sz w:val="26"/>
          <w:szCs w:val="26"/>
        </w:rPr>
        <w:t xml:space="preserve">1.3.1  تطبيق CMUP — مثال ميداني على رزم الورق A4</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تُبيِّن النتائج في الجدول أدناه تطبيق طريقة المتوسط المرجَّح على مادة رزم الورق A4 (ART-001) بالمعطيات الفعلية لمخزن مديرية التربية. السعر 400 دج/رزمة، استلام دفعتين بسعرين مختلفين قليلاً:</w:t>
      </w:r>
    </w:p>
    <w:p>
      <w:pPr>
        <w:bidi/>
        <w:spacing w:after="80" w:before="0" w:line="360" w:lineRule="auto"/>
        <w:jc w:val="center"/>
      </w:pPr>
    </w:p>
    <w:p>
      <w:pPr>
        <w:bidi/>
        <w:spacing w:before="60" w:after="120" w:line="360" w:lineRule="auto"/>
        <w:jc w:val="center"/>
      </w:pPr>
      <w:r>
        <w:rPr>
          <w:rFonts w:ascii="Traditional Arabic" w:cs="Traditional Arabic" w:eastAsia="Traditional Arabic" w:hAnsi="Traditional Arabic"/>
          <w:b/>
          <w:bCs/>
          <w:color w:val="0C447C"/>
          <w:sz w:val="22"/>
          <w:szCs w:val="22"/>
        </w:rPr>
        <w:t xml:space="preserve">الجدول رقم (02) — </w:t>
      </w:r>
      <w:r>
        <w:rPr>
          <w:rFonts w:ascii="Traditional Arabic" w:cs="Traditional Arabic" w:eastAsia="Traditional Arabic" w:hAnsi="Traditional Arabic"/>
          <w:b w:val="false"/>
          <w:bCs w:val="false"/>
          <w:color w:val="333333"/>
          <w:sz w:val="22"/>
          <w:szCs w:val="22"/>
        </w:rPr>
        <w:t xml:space="preserve">تطبيق CMUP على رزم الورق A4 — مخزن مديرية التربية البيض</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000"/>
        <w:gridCol w:w="1200"/>
        <w:gridCol w:w="1200"/>
        <w:gridCol w:w="1000"/>
        <w:gridCol w:w="1200"/>
        <w:gridCol w:w="1600"/>
      </w:tblGrid>
      <w:tr>
        <w:trPr>
          <w:tblHeader/>
        </w:trPr>
        <w:tc>
          <w:tcPr>
            <w:tcW w:type="dxa" w:w="11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التاريخ</w:t>
            </w:r>
          </w:p>
        </w:tc>
        <w:tc>
          <w:tcPr>
            <w:tcW w:type="dxa" w:w="16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العملية</w:t>
            </w:r>
          </w:p>
        </w:tc>
        <w:tc>
          <w:tcPr>
            <w:tcW w:type="dxa" w:w="10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الكمية</w:t>
            </w:r>
          </w:p>
        </w:tc>
        <w:tc>
          <w:tcPr>
            <w:tcW w:type="dxa" w:w="12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السعر (دج)</w:t>
            </w:r>
          </w:p>
        </w:tc>
        <w:tc>
          <w:tcPr>
            <w:tcW w:type="dxa" w:w="12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القيمة (دج)</w:t>
            </w:r>
          </w:p>
        </w:tc>
        <w:tc>
          <w:tcPr>
            <w:tcW w:type="dxa" w:w="10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الرصيد</w:t>
            </w:r>
          </w:p>
        </w:tc>
        <w:tc>
          <w:tcPr>
            <w:tcW w:type="dxa" w:w="12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الرصيد (دج)</w:t>
            </w:r>
          </w:p>
        </w:tc>
        <w:tc>
          <w:tcPr>
            <w:tcW w:type="dxa" w:w="16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CMUP (دج)</w:t>
            </w:r>
          </w:p>
        </w:tc>
      </w:tr>
      <w:tr>
        <w:tc>
          <w:tcPr>
            <w:tcW w:type="dxa" w:w="11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01/03</w:t>
            </w:r>
          </w:p>
        </w:tc>
        <w:tc>
          <w:tcPr>
            <w:tcW w:type="dxa" w:w="16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رصيد ابتدائي</w:t>
            </w:r>
          </w:p>
        </w:tc>
        <w:tc>
          <w:tcPr>
            <w:tcW w:type="dxa" w:w="10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200</w:t>
            </w:r>
          </w:p>
        </w:tc>
        <w:tc>
          <w:tcPr>
            <w:tcW w:type="dxa" w:w="12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400</w:t>
            </w:r>
          </w:p>
        </w:tc>
        <w:tc>
          <w:tcPr>
            <w:tcW w:type="dxa" w:w="12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80 000</w:t>
            </w:r>
          </w:p>
        </w:tc>
        <w:tc>
          <w:tcPr>
            <w:tcW w:type="dxa" w:w="10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200</w:t>
            </w:r>
          </w:p>
        </w:tc>
        <w:tc>
          <w:tcPr>
            <w:tcW w:type="dxa" w:w="12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80 000</w:t>
            </w:r>
          </w:p>
        </w:tc>
        <w:tc>
          <w:tcPr>
            <w:tcW w:type="dxa" w:w="16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400,00</w:t>
            </w:r>
          </w:p>
        </w:tc>
      </w:tr>
      <w:tr>
        <w:tc>
          <w:tcPr>
            <w:tcW w:type="dxa" w:w="11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10/03</w:t>
            </w:r>
          </w:p>
        </w:tc>
        <w:tc>
          <w:tcPr>
            <w:tcW w:type="dxa" w:w="1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إدخال BR-012</w:t>
            </w:r>
          </w:p>
        </w:tc>
        <w:tc>
          <w:tcPr>
            <w:tcW w:type="dxa" w:w="1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500</w:t>
            </w:r>
          </w:p>
        </w:tc>
        <w:tc>
          <w:tcPr>
            <w:tcW w:type="dxa" w:w="1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410</w:t>
            </w:r>
          </w:p>
        </w:tc>
        <w:tc>
          <w:tcPr>
            <w:tcW w:type="dxa" w:w="1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205 000</w:t>
            </w:r>
          </w:p>
        </w:tc>
        <w:tc>
          <w:tcPr>
            <w:tcW w:type="dxa" w:w="1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700</w:t>
            </w:r>
          </w:p>
        </w:tc>
        <w:tc>
          <w:tcPr>
            <w:tcW w:type="dxa" w:w="1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285 000</w:t>
            </w:r>
          </w:p>
        </w:tc>
        <w:tc>
          <w:tcPr>
            <w:tcW w:type="dxa" w:w="1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407,14</w:t>
            </w:r>
          </w:p>
        </w:tc>
      </w:tr>
      <w:tr>
        <w:tc>
          <w:tcPr>
            <w:tcW w:type="dxa" w:w="11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15/03</w:t>
            </w:r>
          </w:p>
        </w:tc>
        <w:tc>
          <w:tcPr>
            <w:tcW w:type="dxa" w:w="16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إخراج BS-025</w:t>
            </w:r>
          </w:p>
        </w:tc>
        <w:tc>
          <w:tcPr>
            <w:tcW w:type="dxa" w:w="10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300</w:t>
            </w:r>
          </w:p>
        </w:tc>
        <w:tc>
          <w:tcPr>
            <w:tcW w:type="dxa" w:w="12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CMUP</w:t>
            </w:r>
          </w:p>
        </w:tc>
        <w:tc>
          <w:tcPr>
            <w:tcW w:type="dxa" w:w="12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122 143</w:t>
            </w:r>
          </w:p>
        </w:tc>
        <w:tc>
          <w:tcPr>
            <w:tcW w:type="dxa" w:w="10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400</w:t>
            </w:r>
          </w:p>
        </w:tc>
        <w:tc>
          <w:tcPr>
            <w:tcW w:type="dxa" w:w="12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162 857</w:t>
            </w:r>
          </w:p>
        </w:tc>
        <w:tc>
          <w:tcPr>
            <w:tcW w:type="dxa" w:w="16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407,14</w:t>
            </w:r>
          </w:p>
        </w:tc>
      </w:tr>
      <w:tr>
        <w:tc>
          <w:tcPr>
            <w:tcW w:type="dxa" w:w="11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25/03</w:t>
            </w:r>
          </w:p>
        </w:tc>
        <w:tc>
          <w:tcPr>
            <w:tcW w:type="dxa" w:w="1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إخراج BS-031</w:t>
            </w:r>
          </w:p>
        </w:tc>
        <w:tc>
          <w:tcPr>
            <w:tcW w:type="dxa" w:w="1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150</w:t>
            </w:r>
          </w:p>
        </w:tc>
        <w:tc>
          <w:tcPr>
            <w:tcW w:type="dxa" w:w="1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CMUP</w:t>
            </w:r>
          </w:p>
        </w:tc>
        <w:tc>
          <w:tcPr>
            <w:tcW w:type="dxa" w:w="1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61 071</w:t>
            </w:r>
          </w:p>
        </w:tc>
        <w:tc>
          <w:tcPr>
            <w:tcW w:type="dxa" w:w="1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250</w:t>
            </w:r>
          </w:p>
        </w:tc>
        <w:tc>
          <w:tcPr>
            <w:tcW w:type="dxa" w:w="1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101 786</w:t>
            </w:r>
          </w:p>
        </w:tc>
        <w:tc>
          <w:tcPr>
            <w:tcW w:type="dxa" w:w="1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407,14</w:t>
            </w:r>
          </w:p>
        </w:tc>
      </w:tr>
    </w:tbl>
    <w:p>
      <w:pPr>
        <w:bidi/>
        <w:spacing w:before="40" w:after="200" w:line="360" w:lineRule="auto"/>
        <w:jc w:val="center"/>
      </w:pPr>
      <w:r>
        <w:rPr>
          <w:rFonts w:ascii="Traditional Arabic" w:cs="Traditional Arabic" w:eastAsia="Traditional Arabic" w:hAnsi="Traditional Arabic"/>
          <w:b w:val="false"/>
          <w:bCs w:val="false"/>
          <w:color w:val="777777"/>
          <w:sz w:val="18"/>
          <w:szCs w:val="18"/>
        </w:rPr>
        <w:t xml:space="preserve">المصدر: إعداد الطالب — بيانات ERP_Academie_v5_final.xlsx | مارس 2026</w:t>
      </w:r>
    </w:p>
    <w:p>
      <w:pPr>
        <w:bidi/>
        <w:spacing w:after="200" w:before="0" w:line="360" w:lineRule="auto"/>
        <w:jc w:val="center"/>
      </w:pP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1.4  أدوات التحليل الكمي</w:t>
      </w:r>
    </w:p>
    <w:p>
      <w:pPr>
        <w:bidi/>
        <w:spacing w:before="200" w:after="120" w:line="360" w:lineRule="auto"/>
        <w:jc w:val="right"/>
      </w:pPr>
      <w:r>
        <w:rPr>
          <w:rFonts w:ascii="Traditional Arabic" w:cs="Traditional Arabic" w:eastAsia="Traditional Arabic" w:hAnsi="Traditional Arabic"/>
          <w:b/>
          <w:bCs/>
          <w:color w:val="1A5276"/>
          <w:sz w:val="26"/>
          <w:szCs w:val="26"/>
        </w:rPr>
        <w:t xml:space="preserve">1.4.1  تحليل ABC (مبدأ باريتو)</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يقوم تحليل ABC على الملاحظة الإحصائية لعالم الاقتصاد فيلفريدو باريتو (قاعدة 80/20): نحو 20% من الأصناف تُمثِّل 80% من الاستهلاك الإجمالي بالقيمة. يُمكِّن هذا التحليل من توزيع جهود المراقبة بصورة متناسبة مع أهمية كل صنف: الفئة A تستوجب مراقبة شهرية، الفئة B فصلية، والفئة C نصف سنوية.</w:t>
      </w:r>
    </w:p>
    <w:p>
      <w:pPr>
        <w:bidi/>
        <w:spacing w:before="200" w:after="120" w:line="360" w:lineRule="auto"/>
        <w:jc w:val="right"/>
      </w:pPr>
      <w:r>
        <w:rPr>
          <w:rFonts w:ascii="Traditional Arabic" w:cs="Traditional Arabic" w:eastAsia="Traditional Arabic" w:hAnsi="Traditional Arabic"/>
          <w:b/>
          <w:bCs/>
          <w:color w:val="1A5276"/>
          <w:sz w:val="26"/>
          <w:szCs w:val="26"/>
        </w:rPr>
        <w:t xml:space="preserve">1.4.2  نموذج ويلسون (الكمية الاقتصادية EOQ)</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يهدف نموذج ويلسون إلى إيجاد الكمية المثلى التي تُدنِّي مجموع التكاليف المتغيرة المتعلقة بالمخزون: تكلفة الطلبية (تكلفة الإصدار) وتكلفة الاحتفاظ (تكلفة الحيازة). تقوم الصيغة على المعادلة:</w:t>
      </w:r>
    </w:p>
    <w:p>
      <w:pPr>
        <w:bidi/>
        <w:spacing w:before="100" w:after="120" w:line="360" w:lineRule="auto"/>
        <w:jc w:val="center"/>
      </w:pPr>
      <w:r>
        <w:rPr>
          <w:rFonts w:ascii="Traditional Arabic" w:cs="Traditional Arabic" w:eastAsia="Traditional Arabic" w:hAnsi="Traditional Arabic"/>
          <w:b/>
          <w:bCs/>
          <w:color w:val="1A5276"/>
          <w:sz w:val="22"/>
          <w:szCs w:val="22"/>
        </w:rPr>
        <w:t xml:space="preserve">Q* = √ (2 × D × CL) ÷ (t × PU)</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حيث D = الطلب السنوي، CL = تكلفة إصدار طلبية واحدة، PU = السعر الوحدوي، t = معدل الاحتفاظ السنوي. تُكمَّل الصيغة بحساب نقطة إعادة الطلب: ROP = SS + (D / 250) × LT.</w:t>
      </w:r>
    </w:p>
    <w:p>
      <w:pPr>
        <w:bidi/>
        <w:spacing w:after="200" w:before="0" w:line="360" w:lineRule="auto"/>
        <w:jc w:val="center"/>
      </w:pP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1.5  تقييم الموردين — نظام التنقيط المرجَّح</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لاختيار المورد الأمثل تُستخدَم شبكة تقييم ببنود مرجَّحة تشمل: الجودة (×4)، السعر (×3)، أجل التسليم (×1.5)، شروط الدفع (×1.5). يُحسَب المجموع المرجَّح لكل مورد ويُختار صاحب أعلى نتيجة. يُبيِّن الجدول الآتي مثالاً على هذا التقييم لثلاثة موردين:</w:t>
      </w:r>
    </w:p>
    <w:p>
      <w:pPr>
        <w:bidi/>
        <w:spacing w:after="80" w:before="0" w:line="360" w:lineRule="auto"/>
        <w:jc w:val="center"/>
      </w:pPr>
    </w:p>
    <w:p>
      <w:pPr>
        <w:bidi/>
        <w:spacing w:before="60" w:after="120" w:line="360" w:lineRule="auto"/>
        <w:jc w:val="center"/>
      </w:pPr>
      <w:r>
        <w:rPr>
          <w:rFonts w:ascii="Traditional Arabic" w:cs="Traditional Arabic" w:eastAsia="Traditional Arabic" w:hAnsi="Traditional Arabic"/>
          <w:b/>
          <w:bCs/>
          <w:color w:val="0C447C"/>
          <w:sz w:val="22"/>
          <w:szCs w:val="22"/>
        </w:rPr>
        <w:t xml:space="preserve">الجدول رقم (03) — </w:t>
      </w:r>
      <w:r>
        <w:rPr>
          <w:rFonts w:ascii="Traditional Arabic" w:cs="Traditional Arabic" w:eastAsia="Traditional Arabic" w:hAnsi="Traditional Arabic"/>
          <w:b w:val="false"/>
          <w:bCs w:val="false"/>
          <w:color w:val="333333"/>
          <w:sz w:val="22"/>
          <w:szCs w:val="22"/>
        </w:rPr>
        <w:t xml:space="preserve">شبكة تقييم الموردين بنظام التنقيط المرجَّح — مثال توضيحي</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800"/>
        <w:gridCol w:w="800"/>
        <w:gridCol w:w="800"/>
        <w:gridCol w:w="800"/>
        <w:gridCol w:w="800"/>
        <w:gridCol w:w="800"/>
        <w:gridCol w:w="800"/>
      </w:tblGrid>
      <w:tr>
        <w:trPr>
          <w:tblHeader/>
        </w:trPr>
        <w:tc>
          <w:tcPr>
            <w:tcW w:type="dxa" w:w="18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المعيار</w:t>
            </w:r>
          </w:p>
        </w:tc>
        <w:tc>
          <w:tcPr>
            <w:tcW w:type="dxa" w:w="8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الوزن</w:t>
            </w:r>
          </w:p>
        </w:tc>
        <w:tc>
          <w:tcPr>
            <w:tcW w:type="dxa" w:w="800"/>
            <w:tcBorders>
              <w:top w:val="single" w:color="0C447C" w:sz="4"/>
              <w:left w:val="single" w:color="0C447C" w:sz="4"/>
              <w:bottom w:val="single" w:color="0C447C" w:sz="4"/>
              <w:right w:val="single" w:color="0C447C" w:sz="4"/>
            </w:tcBorders>
            <w:shd w:fill="1A5276"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م. أ</w:t>
            </w:r>
          </w:p>
        </w:tc>
        <w:tc>
          <w:tcPr>
            <w:tcW w:type="dxa" w:w="800"/>
            <w:tcBorders>
              <w:top w:val="single" w:color="0C447C" w:sz="4"/>
              <w:left w:val="single" w:color="0C447C" w:sz="4"/>
              <w:bottom w:val="single" w:color="0C447C" w:sz="4"/>
              <w:right w:val="single" w:color="0C447C" w:sz="4"/>
            </w:tcBorders>
            <w:shd w:fill="1A5276"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م. ب</w:t>
            </w:r>
          </w:p>
        </w:tc>
        <w:tc>
          <w:tcPr>
            <w:tcW w:type="dxa" w:w="800"/>
            <w:tcBorders>
              <w:top w:val="single" w:color="0C447C" w:sz="4"/>
              <w:left w:val="single" w:color="0C447C" w:sz="4"/>
              <w:bottom w:val="single" w:color="0C447C" w:sz="4"/>
              <w:right w:val="single" w:color="0C447C" w:sz="4"/>
            </w:tcBorders>
            <w:shd w:fill="1A5276"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م. ج</w:t>
            </w:r>
          </w:p>
        </w:tc>
        <w:tc>
          <w:tcPr>
            <w:tcW w:type="dxa" w:w="800"/>
            <w:tcBorders>
              <w:top w:val="single" w:color="0C447C" w:sz="4"/>
              <w:left w:val="single" w:color="0C447C" w:sz="4"/>
              <w:bottom w:val="single" w:color="0C447C" w:sz="4"/>
              <w:right w:val="single" w:color="0C447C" w:sz="4"/>
            </w:tcBorders>
            <w:shd w:fill="27AE60"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ن. أ</w:t>
            </w:r>
          </w:p>
        </w:tc>
        <w:tc>
          <w:tcPr>
            <w:tcW w:type="dxa" w:w="800"/>
            <w:tcBorders>
              <w:top w:val="single" w:color="0C447C" w:sz="4"/>
              <w:left w:val="single" w:color="0C447C" w:sz="4"/>
              <w:bottom w:val="single" w:color="0C447C" w:sz="4"/>
              <w:right w:val="single" w:color="0C447C" w:sz="4"/>
            </w:tcBorders>
            <w:shd w:fill="27AE60"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ن. ب</w:t>
            </w:r>
          </w:p>
        </w:tc>
        <w:tc>
          <w:tcPr>
            <w:tcW w:type="dxa" w:w="800"/>
            <w:tcBorders>
              <w:top w:val="single" w:color="0C447C" w:sz="4"/>
              <w:left w:val="single" w:color="0C447C" w:sz="4"/>
              <w:bottom w:val="single" w:color="0C447C" w:sz="4"/>
              <w:right w:val="single" w:color="0C447C" w:sz="4"/>
            </w:tcBorders>
            <w:shd w:fill="27AE60"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ن. ج</w:t>
            </w:r>
          </w:p>
        </w:tc>
        <w:tc>
          <w:tcPr>
            <w:tcW w:type="dxa" w:w="8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الأفضل</w:t>
            </w:r>
          </w:p>
        </w:tc>
      </w:tr>
      <w:tr>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الجودة</w:t>
            </w:r>
          </w:p>
        </w:tc>
        <w:tc>
          <w:tcPr>
            <w:tcW w:type="dxa" w:w="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×4</w:t>
            </w:r>
          </w:p>
        </w:tc>
        <w:tc>
          <w:tcPr>
            <w:tcW w:type="dxa" w:w="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8</w:t>
            </w:r>
          </w:p>
        </w:tc>
        <w:tc>
          <w:tcPr>
            <w:tcW w:type="dxa" w:w="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5</w:t>
            </w:r>
          </w:p>
        </w:tc>
        <w:tc>
          <w:tcPr>
            <w:tcW w:type="dxa" w:w="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7</w:t>
            </w:r>
          </w:p>
        </w:tc>
        <w:tc>
          <w:tcPr>
            <w:tcW w:type="dxa" w:w="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32</w:t>
            </w:r>
          </w:p>
        </w:tc>
        <w:tc>
          <w:tcPr>
            <w:tcW w:type="dxa" w:w="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20</w:t>
            </w:r>
          </w:p>
        </w:tc>
        <w:tc>
          <w:tcPr>
            <w:tcW w:type="dxa" w:w="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28</w:t>
            </w:r>
          </w:p>
        </w:tc>
        <w:tc>
          <w:tcPr>
            <w:tcW w:type="dxa" w:w="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السعر</w:t>
            </w:r>
          </w:p>
        </w:tc>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×3</w:t>
            </w:r>
          </w:p>
        </w:tc>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6</w:t>
            </w:r>
          </w:p>
        </w:tc>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7</w:t>
            </w:r>
          </w:p>
        </w:tc>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6</w:t>
            </w:r>
          </w:p>
        </w:tc>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18</w:t>
            </w:r>
          </w:p>
        </w:tc>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21</w:t>
            </w:r>
          </w:p>
        </w:tc>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18</w:t>
            </w:r>
          </w:p>
        </w:tc>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
            </w:r>
          </w:p>
        </w:tc>
      </w:tr>
      <w:tr>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أجل التسليم</w:t>
            </w:r>
          </w:p>
        </w:tc>
        <w:tc>
          <w:tcPr>
            <w:tcW w:type="dxa" w:w="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×1.5</w:t>
            </w:r>
          </w:p>
        </w:tc>
        <w:tc>
          <w:tcPr>
            <w:tcW w:type="dxa" w:w="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5</w:t>
            </w:r>
          </w:p>
        </w:tc>
        <w:tc>
          <w:tcPr>
            <w:tcW w:type="dxa" w:w="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6</w:t>
            </w:r>
          </w:p>
        </w:tc>
        <w:tc>
          <w:tcPr>
            <w:tcW w:type="dxa" w:w="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8</w:t>
            </w:r>
          </w:p>
        </w:tc>
        <w:tc>
          <w:tcPr>
            <w:tcW w:type="dxa" w:w="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7.5</w:t>
            </w:r>
          </w:p>
        </w:tc>
        <w:tc>
          <w:tcPr>
            <w:tcW w:type="dxa" w:w="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9</w:t>
            </w:r>
          </w:p>
        </w:tc>
        <w:tc>
          <w:tcPr>
            <w:tcW w:type="dxa" w:w="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12</w:t>
            </w:r>
          </w:p>
        </w:tc>
        <w:tc>
          <w:tcPr>
            <w:tcW w:type="dxa" w:w="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شروط الدفع</w:t>
            </w:r>
          </w:p>
        </w:tc>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×1.5</w:t>
            </w:r>
          </w:p>
        </w:tc>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7</w:t>
            </w:r>
          </w:p>
        </w:tc>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6</w:t>
            </w:r>
          </w:p>
        </w:tc>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7</w:t>
            </w:r>
          </w:p>
        </w:tc>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10.5</w:t>
            </w:r>
          </w:p>
        </w:tc>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9</w:t>
            </w:r>
          </w:p>
        </w:tc>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10.5</w:t>
            </w:r>
          </w:p>
        </w:tc>
        <w:tc>
          <w:tcPr>
            <w:tcW w:type="dxa" w:w="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
            </w:r>
          </w:p>
        </w:tc>
      </w:tr>
      <w:tr>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المجموع المرجَّح</w:t>
            </w:r>
          </w:p>
        </w:tc>
        <w:tc>
          <w:tcPr>
            <w:tcW w:type="dxa" w:w="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w:t>
            </w:r>
          </w:p>
        </w:tc>
        <w:tc>
          <w:tcPr>
            <w:tcW w:type="dxa" w:w="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w:t>
            </w:r>
          </w:p>
        </w:tc>
        <w:tc>
          <w:tcPr>
            <w:tcW w:type="dxa" w:w="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w:t>
            </w:r>
          </w:p>
        </w:tc>
        <w:tc>
          <w:tcPr>
            <w:tcW w:type="dxa" w:w="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w:t>
            </w:r>
          </w:p>
        </w:tc>
        <w:tc>
          <w:tcPr>
            <w:tcW w:type="dxa" w:w="8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68</w:t>
            </w:r>
          </w:p>
        </w:tc>
        <w:tc>
          <w:tcPr>
            <w:tcW w:type="dxa" w:w="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59</w:t>
            </w:r>
          </w:p>
        </w:tc>
        <w:tc>
          <w:tcPr>
            <w:tcW w:type="dxa" w:w="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68.5</w:t>
            </w:r>
          </w:p>
        </w:tc>
        <w:tc>
          <w:tcPr>
            <w:tcW w:type="dxa" w:w="8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مورد ج ✓</w:t>
            </w:r>
          </w:p>
        </w:tc>
      </w:tr>
    </w:tbl>
    <w:p>
      <w:pPr>
        <w:bidi/>
        <w:spacing w:before="40" w:after="200" w:line="360" w:lineRule="auto"/>
        <w:jc w:val="center"/>
      </w:pPr>
      <w:r>
        <w:rPr>
          <w:rFonts w:ascii="Traditional Arabic" w:cs="Traditional Arabic" w:eastAsia="Traditional Arabic" w:hAnsi="Traditional Arabic"/>
          <w:b w:val="false"/>
          <w:bCs w:val="false"/>
          <w:color w:val="777777"/>
          <w:sz w:val="18"/>
          <w:szCs w:val="18"/>
        </w:rPr>
        <w:t xml:space="preserve">المصدر: إعداد الطالب — محاور السداسي الثاني CNEPD TAG1801</w:t>
      </w:r>
    </w:p>
    <w:p>
      <w:pPr>
        <w:bidi/>
        <w:spacing w:after="200" w:before="0" w:line="360" w:lineRule="auto"/>
        <w:jc w:val="center"/>
      </w:pP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1.6  مفهوم نظام ERP وتطبيقه في المؤسسات الصغيرة</w:t>
      </w:r>
    </w:p>
    <w:p>
      <w:pPr>
        <w:bidi/>
        <w:spacing w:before="200" w:after="120" w:line="360" w:lineRule="auto"/>
        <w:jc w:val="right"/>
      </w:pPr>
      <w:r>
        <w:rPr>
          <w:rFonts w:ascii="Traditional Arabic" w:cs="Traditional Arabic" w:eastAsia="Traditional Arabic" w:hAnsi="Traditional Arabic"/>
          <w:b/>
          <w:bCs/>
          <w:color w:val="1A5276"/>
          <w:sz w:val="26"/>
          <w:szCs w:val="26"/>
        </w:rPr>
        <w:t xml:space="preserve">1.6.1  تعريف نظام ERP</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نظام ERP (Enterprise Resource Planning) هو برنامج مُتكامل يجمع في منصة موحَّدة وظائف المؤسسة المختلفة: الشراء، المخزون، المحاسبة، الموارد البشرية، المبيعات. يُتيح تبادل المعلومات آنياً بين جميع الأقسام وإلغاء ازدواجية البيانات. أمثلة أنظمة تجارية: SAP، Oracle، Microsoft Dynamics.</w:t>
      </w:r>
    </w:p>
    <w:p>
      <w:pPr>
        <w:bidi/>
        <w:spacing w:before="200" w:after="120" w:line="360" w:lineRule="auto"/>
        <w:jc w:val="right"/>
      </w:pPr>
      <w:r>
        <w:rPr>
          <w:rFonts w:ascii="Traditional Arabic" w:cs="Traditional Arabic" w:eastAsia="Traditional Arabic" w:hAnsi="Traditional Arabic"/>
          <w:b/>
          <w:bCs/>
          <w:color w:val="1A5276"/>
          <w:sz w:val="26"/>
          <w:szCs w:val="26"/>
        </w:rPr>
        <w:t xml:space="preserve">1.6.2  Mini ERP بـ Excel/VBA — المفهوم والمبررات</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Mini ERP هو تطبيق مُصمَّم بأدوات Microsoft Office (Excel + VBA) يُحاكي وظائف ERP الأساسية بتكلفة صفرية. مُبرِّرات الاختيار: وجود Excel مسبقاً في كل إدارة جزائرية، لا يتطلب تدريباً متخصصاً، قابل للتخصيص الكامل حسب الاحتياجات المحلية، يعمل بدون اتصال إنترنت، ويدعم الواجهات العربية.</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خلاصة الفصل الأول: أرسى هذا الفصل منظومةً نظريةً متكاملةً تُشكِّل مرجع التحليل طوال المذكرة: مفهوم اللوجستيك، الدورة المستندية، طرق التقييم (FIFO/CMUP)، أدوات التحليل الكمي (ABC/EOQ)، ومفهوم ERP. وستُطبَّق هذه الأدوات بالكامل في الفصل الثالث على البيانات الميدانية الفعلية لمخزن مديرية التربية.</w:t>
      </w:r>
    </w:p>
    <w:p>
      <w:r>
        <w:br w:type="page"/>
      </w:r>
    </w:p>
    <w:p>
      <w:pPr>
        <w:bidi/>
        <w:spacing w:before="0" w:after="220" w:line="360" w:lineRule="auto"/>
        <w:jc w:val="right"/>
      </w:pPr>
      <w:r>
        <w:rPr>
          <w:rFonts w:ascii="Traditional Arabic" w:cs="Traditional Arabic" w:eastAsia="Traditional Arabic" w:hAnsi="Traditional Arabic"/>
          <w:b/>
          <w:bCs/>
          <w:color w:val="1B2631"/>
          <w:sz w:val="32"/>
          <w:szCs w:val="32"/>
        </w:rPr>
        <w:t xml:space="preserve">الفصل الثاني — تقديم مؤسسة التربص</w:t>
      </w:r>
    </w:p>
    <w:p>
      <w:pPr>
        <w:bidi/>
        <w:spacing w:before="80" w:after="120" w:line="360" w:lineRule="auto"/>
        <w:jc w:val="right"/>
      </w:pPr>
      <w:r>
        <w:rPr>
          <w:rFonts w:ascii="Traditional Arabic" w:cs="Traditional Arabic" w:eastAsia="Traditional Arabic" w:hAnsi="Traditional Arabic"/>
          <w:b/>
          <w:bCs/>
          <w:color w:val="1A5276"/>
          <w:sz w:val="24"/>
          <w:szCs w:val="24"/>
        </w:rPr>
        <w:t xml:space="preserve">تمهيد</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يُقدِّم هذا الفصل الإطار المؤسسي والجغرافي للدراسة الميدانية، إذ لا يمكن فهم إشكالية التموين بمعزل عن الخصائص المحيطة بها.</w:t>
      </w: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2.1  ولاية البيض — السياق الجغرافي واللوجستي</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ولاية البيض (الرمز: 32) تقع في منطقة الهضاب العليا جنوب غرب الجزائر، على بعد نحو 450 كيلومتراً جنوب غرب الجزائر العاصمة، و300 كيلومتراً من وهران. تمتاز بطابعها الجغرافي شبه الصحراوي وبُعدها عن المراكز الصناعية والتجارية الكبرى. يُشكِّل هذا البُعد تحدياً لوجستياً مزدوجاً: أجل التسليم مرتفع (يومان على أقل تقدير) وخيارات الموردين محدودة.</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على صعيد وسائل النقل، لا يتوفر بالولاية إلا النقل البري (الطريق الوطني). يُعدّ هذا المعطى محورياً في حساب نقطة إعادة الطلب وتحديد مخزون الأمان، إذ يُفرَض تلقائياً أجلُ تسليم لا يقل عن يومين لأي طلبية من وهران أو الجزائر.</w:t>
      </w: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2.2  مديرية التربية لولاية البيض</w:t>
      </w:r>
    </w:p>
    <w:p>
      <w:pPr>
        <w:bidi/>
        <w:spacing w:before="200" w:after="120" w:line="360" w:lineRule="auto"/>
        <w:jc w:val="right"/>
      </w:pPr>
      <w:r>
        <w:rPr>
          <w:rFonts w:ascii="Traditional Arabic" w:cs="Traditional Arabic" w:eastAsia="Traditional Arabic" w:hAnsi="Traditional Arabic"/>
          <w:b/>
          <w:bCs/>
          <w:color w:val="1A5276"/>
          <w:sz w:val="26"/>
          <w:szCs w:val="26"/>
        </w:rPr>
        <w:t xml:space="preserve">2.2.1  التعريف والمهام</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مديرية التربية لولاية البيض هي الجهاز التنفيذي المحلي لوزارة التربية الوطنية، تتولى الإشراف على المنظومة التربوية في الولاية وتسيير مواردها المادية والبشرية. تشمل اختصاصاتها اللوجستية: توزيع التجهيزات المدرسية، تخصيص اللوازم المكتبية، صيانة وتجديد عتاد المؤسسات التعليمية.</w:t>
      </w:r>
    </w:p>
    <w:p>
      <w:pPr>
        <w:bidi/>
        <w:spacing w:before="200" w:after="120" w:line="360" w:lineRule="auto"/>
        <w:jc w:val="right"/>
      </w:pPr>
      <w:r>
        <w:rPr>
          <w:rFonts w:ascii="Traditional Arabic" w:cs="Traditional Arabic" w:eastAsia="Traditional Arabic" w:hAnsi="Traditional Arabic"/>
          <w:b/>
          <w:bCs/>
          <w:color w:val="1A5276"/>
          <w:sz w:val="26"/>
          <w:szCs w:val="26"/>
        </w:rPr>
        <w:t xml:space="preserve">2.2.2  السلّم الهرمي لمصلحة المخازن</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تندرج مصلحة المخازن ضمن مديرية الوسائل والصيانة، وتضم: مسؤول المخزن (يُشرف على كل العمليات)، عون الاستلام (يتحقق من الطلبيات الواردة)، عون التوزيع (يُعالج طلبات الإخراج). يعمل الفريق بالاعتماد على وثائق ورقية وملفات Excel أولية بدون إجراءات موحَّدة أو آليات تنبيه.</w:t>
      </w: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2.3  وصف مصلحة المخازن</w:t>
      </w:r>
    </w:p>
    <w:p>
      <w:pPr>
        <w:bidi/>
        <w:spacing w:before="200" w:after="120" w:line="360" w:lineRule="auto"/>
        <w:jc w:val="right"/>
      </w:pPr>
      <w:r>
        <w:rPr>
          <w:rFonts w:ascii="Traditional Arabic" w:cs="Traditional Arabic" w:eastAsia="Traditional Arabic" w:hAnsi="Traditional Arabic"/>
          <w:b/>
          <w:bCs/>
          <w:color w:val="1A5276"/>
          <w:sz w:val="26"/>
          <w:szCs w:val="26"/>
        </w:rPr>
        <w:t xml:space="preserve">2.3.1  المواد المُسيَّرة</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يُدير المخزن ثلاث فئات رئيسية من المواد: أولاً، المستهلكات الإدارية (رزم الورق A4/A3، خراطيش الطباعة الليزرية والنفاثة، أحبار الطوابع، أطبال الطابعات). ثانياً، لوازم التجهيز المدرسي (أدوات الكتابة، الدفاتر، المحافظ). ثالثاً، عتاد الصيانة (وسائل النظافة، مواد الإصلاح الصغيرة).</w:t>
      </w:r>
    </w:p>
    <w:p>
      <w:pPr>
        <w:bidi/>
        <w:spacing w:before="200" w:after="120" w:line="360" w:lineRule="auto"/>
        <w:jc w:val="right"/>
      </w:pPr>
      <w:r>
        <w:rPr>
          <w:rFonts w:ascii="Traditional Arabic" w:cs="Traditional Arabic" w:eastAsia="Traditional Arabic" w:hAnsi="Traditional Arabic"/>
          <w:b/>
          <w:bCs/>
          <w:color w:val="1A5276"/>
          <w:sz w:val="26"/>
          <w:szCs w:val="26"/>
        </w:rPr>
        <w:t xml:space="preserve">2.3.2  الدورة التشغيلية الحالية</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عند ورود طلب توريد من مؤسسة تعليمية، يتحقق المسؤول من الرصيد يدوياً في سجل المخزن الورقي أو ملف Excel الأساسي. إذا كان الرصيد كافياً يُحرَّر وصل الإخراج. أما في حالة النقص فيُرفع طلب الشراء للإدارة ثم يُرسَل أمر الشراء للمورد. لا يوجد تسجيل آلي للحركات، ولا تنبيهات عند الاقتراب من الحد الأدنى، ولا حساب آلي لنقطة إعادة الطلب.</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خلاصة الفصل الثاني: يُوفِّر السياق الجغرافي البعيد (أجل تسليم 2+ يوم) وثقلُ المهام الإدارية المُوكَلة لمصلحة المخازن الإطارَ الذي تُفهَم في ضوئه الإشكاليات المُشخَّصة في الفصل الموالي. هذا السياق يجعل الحاجة إلى نظام تنبيه مُسبَق أكثر إلحاحاً من أي بيئة حضرية قريبة من الموردين.</w:t>
      </w:r>
    </w:p>
    <w:p>
      <w:r>
        <w:br w:type="page"/>
      </w:r>
    </w:p>
    <w:p>
      <w:pPr>
        <w:bidi/>
        <w:spacing w:before="0" w:after="220" w:line="360" w:lineRule="auto"/>
        <w:jc w:val="right"/>
      </w:pPr>
      <w:r>
        <w:rPr>
          <w:rFonts w:ascii="Traditional Arabic" w:cs="Traditional Arabic" w:eastAsia="Traditional Arabic" w:hAnsi="Traditional Arabic"/>
          <w:b/>
          <w:bCs/>
          <w:color w:val="1B2631"/>
          <w:sz w:val="32"/>
          <w:szCs w:val="32"/>
        </w:rPr>
        <w:t xml:space="preserve">الفصل الثالث — التشخيص الميداني وتحليل البيانات</w:t>
      </w:r>
    </w:p>
    <w:p>
      <w:pPr>
        <w:bidi/>
        <w:spacing w:before="80" w:after="120" w:line="360" w:lineRule="auto"/>
        <w:jc w:val="right"/>
      </w:pPr>
      <w:r>
        <w:rPr>
          <w:rFonts w:ascii="Traditional Arabic" w:cs="Traditional Arabic" w:eastAsia="Traditional Arabic" w:hAnsi="Traditional Arabic"/>
          <w:b/>
          <w:bCs/>
          <w:color w:val="1A5276"/>
          <w:sz w:val="24"/>
          <w:szCs w:val="24"/>
        </w:rPr>
        <w:t xml:space="preserve">تمهيد</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يعتمد هذا الفصل على المعطيات الفعلية المُجمَّعة من مخزن مديرية التربية خلال فترة التربص (فيفري–مارس 2026) لتطبيق أدوات التحليل الكمي وتحديد مواطن الخلل بصورة موضوعية.</w:t>
      </w: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3.1  تشخيص نقاط الضعف الهيكلية</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يُبيِّن الجدول أدناه نتائج التشخيص الميداني المُجرَى خلال فترة التربص، إذ رُصدت خمس نقاط ضعف هيكلية تتقاطع جميعها في مسبب واحد: غياب الأتمتة.</w:t>
      </w:r>
    </w:p>
    <w:p>
      <w:pPr>
        <w:bidi/>
        <w:spacing w:after="80" w:before="0" w:line="360" w:lineRule="auto"/>
        <w:jc w:val="center"/>
      </w:pPr>
    </w:p>
    <w:p>
      <w:pPr>
        <w:bidi/>
        <w:spacing w:before="60" w:after="120" w:line="360" w:lineRule="auto"/>
        <w:jc w:val="center"/>
      </w:pPr>
      <w:r>
        <w:rPr>
          <w:rFonts w:ascii="Traditional Arabic" w:cs="Traditional Arabic" w:eastAsia="Traditional Arabic" w:hAnsi="Traditional Arabic"/>
          <w:b/>
          <w:bCs/>
          <w:color w:val="0C447C"/>
          <w:sz w:val="22"/>
          <w:szCs w:val="22"/>
        </w:rPr>
        <w:t xml:space="preserve">الجدول رقم (04) — </w:t>
      </w:r>
      <w:r>
        <w:rPr>
          <w:rFonts w:ascii="Traditional Arabic" w:cs="Traditional Arabic" w:eastAsia="Traditional Arabic" w:hAnsi="Traditional Arabic"/>
          <w:b w:val="false"/>
          <w:bCs w:val="false"/>
          <w:color w:val="333333"/>
          <w:sz w:val="22"/>
          <w:szCs w:val="22"/>
        </w:rPr>
        <w:t xml:space="preserve">نقاط الضعف الهيكلية في مخزن مديرية التربية لولاية البيض</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tblGrid>
      <w:tr>
        <w:trPr>
          <w:tblHeader/>
        </w:trPr>
        <w:tc>
          <w:tcPr>
            <w:tcW w:type="dxa" w:w="24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نقطة الضعف</w:t>
            </w:r>
          </w:p>
        </w:tc>
        <w:tc>
          <w:tcPr>
            <w:tcW w:type="dxa" w:w="65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الوصف التفصيلي</w:t>
            </w:r>
          </w:p>
        </w:tc>
      </w:tr>
      <w:tr>
        <w:tc>
          <w:tcPr>
            <w:tcW w:type="dxa" w:w="2400"/>
            <w:tcBorders>
              <w:top w:val="single" w:color="CCCCCC" w:sz="4"/>
              <w:left w:val="single" w:color="CCCCCC" w:sz="4"/>
              <w:bottom w:val="single" w:color="CCCCCC" w:sz="4"/>
              <w:right w:val="single" w:color="CCCCCC" w:sz="4"/>
            </w:tcBorders>
            <w:shd w:fill="FADBD8"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غياب التنبيه الآلي</w:t>
            </w:r>
          </w:p>
        </w:tc>
        <w:tc>
          <w:tcPr>
            <w:tcW w:type="dxa" w:w="6500"/>
            <w:tcBorders>
              <w:top w:val="single" w:color="CCCCCC" w:sz="4"/>
              <w:left w:val="single" w:color="CCCCCC" w:sz="4"/>
              <w:bottom w:val="single" w:color="CCCCCC" w:sz="4"/>
              <w:right w:val="single" w:color="CCCCCC" w:sz="4"/>
            </w:tcBorders>
            <w:shd w:fill="FADBD8"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لا توجد أي آلية تُنبِّه تلقائياً عند اقتراب الرصيد من الحد الأدنى — الاكتشاف بالعين المجردة فقط</w:t>
            </w:r>
          </w:p>
        </w:tc>
      </w:tr>
      <w:tr>
        <w:tc>
          <w:tcPr>
            <w:tcW w:type="dxa" w:w="24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ازدواجية التسجيل</w:t>
            </w:r>
          </w:p>
        </w:tc>
        <w:tc>
          <w:tcPr>
            <w:tcW w:type="dxa" w:w="65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التسجيل يدوياً في السجل الورقي أولاً ثم نقله إلى Excel الأساسي — مصدر تكرار الأخطاء</w:t>
            </w:r>
          </w:p>
        </w:tc>
      </w:tr>
      <w:tr>
        <w:tc>
          <w:tcPr>
            <w:tcW w:type="dxa" w:w="24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إطالة وقت الجرد</w:t>
            </w:r>
          </w:p>
        </w:tc>
        <w:tc>
          <w:tcPr>
            <w:tcW w:type="dxa" w:w="65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الجرد الفصلي يستغرق يوماً كاملاً بسبب المطابقة اليدوية بين السجل والواقع الفيزيائي</w:t>
            </w:r>
          </w:p>
        </w:tc>
      </w:tr>
      <w:tr>
        <w:tc>
          <w:tcPr>
            <w:tcW w:type="dxa" w:w="24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غياب التتبع التاريخي</w:t>
            </w:r>
          </w:p>
        </w:tc>
        <w:tc>
          <w:tcPr>
            <w:tcW w:type="dxa" w:w="65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لا يمكن استرجاع سجل حركة مادة ما لفترة أقدم من ثلاثة أشهر — فقدان المعلومة الأرشيفية</w:t>
            </w:r>
          </w:p>
        </w:tc>
      </w:tr>
      <w:tr>
        <w:tc>
          <w:tcPr>
            <w:tcW w:type="dxa" w:w="24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انعدام تقييم الموردين</w:t>
            </w:r>
          </w:p>
        </w:tc>
        <w:tc>
          <w:tcPr>
            <w:tcW w:type="dxa" w:w="65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لا توجد بطاقة تقييم موردين — الاختيار عشوائي قائم على العلاقات الشخصية لا المعطيات الموضوعية</w:t>
            </w:r>
          </w:p>
        </w:tc>
      </w:tr>
    </w:tbl>
    <w:p>
      <w:pPr>
        <w:bidi/>
        <w:spacing w:before="40" w:after="200" w:line="360" w:lineRule="auto"/>
        <w:jc w:val="center"/>
      </w:pPr>
      <w:r>
        <w:rPr>
          <w:rFonts w:ascii="Traditional Arabic" w:cs="Traditional Arabic" w:eastAsia="Traditional Arabic" w:hAnsi="Traditional Arabic"/>
          <w:b w:val="false"/>
          <w:bCs w:val="false"/>
          <w:color w:val="777777"/>
          <w:sz w:val="18"/>
          <w:szCs w:val="18"/>
        </w:rPr>
        <w:t xml:space="preserve">المصدر: إعداد الطالب — ملاحظة ميدانية مباشرة | فيفري–مارس 2026</w:t>
      </w:r>
    </w:p>
    <w:p>
      <w:pPr>
        <w:bidi/>
        <w:spacing w:after="200" w:before="0" w:line="360" w:lineRule="auto"/>
        <w:jc w:val="center"/>
      </w:pP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3.2  تحليل ABC للمواد المخزَّنة</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استناداً إلى سجلات الاستهلاك السنوي المُستخرَجة من وثائق الإخراج لعام 2025، جرت عملية الفرز والتصنيف وفق تحليل ABC. تُعرض النتائج في الجدول الآتي:</w:t>
      </w:r>
    </w:p>
    <w:p>
      <w:pPr>
        <w:bidi/>
        <w:spacing w:after="80" w:before="0" w:line="360" w:lineRule="auto"/>
        <w:jc w:val="center"/>
      </w:pPr>
    </w:p>
    <w:p>
      <w:pPr>
        <w:bidi/>
        <w:spacing w:before="60" w:after="120" w:line="360" w:lineRule="auto"/>
        <w:jc w:val="center"/>
      </w:pPr>
      <w:r>
        <w:rPr>
          <w:rFonts w:ascii="Traditional Arabic" w:cs="Traditional Arabic" w:eastAsia="Traditional Arabic" w:hAnsi="Traditional Arabic"/>
          <w:b/>
          <w:bCs/>
          <w:color w:val="0C447C"/>
          <w:sz w:val="22"/>
          <w:szCs w:val="22"/>
        </w:rPr>
        <w:t xml:space="preserve">الجدول رقم (05) — </w:t>
      </w:r>
      <w:r>
        <w:rPr>
          <w:rFonts w:ascii="Traditional Arabic" w:cs="Traditional Arabic" w:eastAsia="Traditional Arabic" w:hAnsi="Traditional Arabic"/>
          <w:b w:val="false"/>
          <w:bCs w:val="false"/>
          <w:color w:val="333333"/>
          <w:sz w:val="22"/>
          <w:szCs w:val="22"/>
        </w:rPr>
        <w:t xml:space="preserve">تصنيف ABC لمواد مخزن مديرية التربية لولاية البيض</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200"/>
        <w:gridCol w:w="1400"/>
        <w:gridCol w:w="1400"/>
        <w:gridCol w:w="1600"/>
      </w:tblGrid>
      <w:tr>
        <w:trPr>
          <w:tblHeader/>
        </w:trPr>
        <w:tc>
          <w:tcPr>
            <w:tcW w:type="dxa" w:w="7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الفئة</w:t>
            </w:r>
          </w:p>
        </w:tc>
        <w:tc>
          <w:tcPr>
            <w:tcW w:type="dxa" w:w="16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أمثلة من المخزن</w:t>
            </w:r>
          </w:p>
        </w:tc>
        <w:tc>
          <w:tcPr>
            <w:tcW w:type="dxa" w:w="22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Arial" w:cs="Arial" w:eastAsia="Arial" w:hAnsi="Arial"/>
                <w:b/>
                <w:bCs/>
                <w:color w:val="FFFFFF"/>
                <w:sz w:val="18"/>
                <w:szCs w:val="18"/>
              </w:rPr>
              <w:t xml:space="preserve">أرقام المواد</w:t>
            </w:r>
          </w:p>
        </w:tc>
        <w:tc>
          <w:tcPr>
            <w:tcW w:type="dxa" w:w="14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نسبة الأصناف</w:t>
            </w:r>
          </w:p>
        </w:tc>
        <w:tc>
          <w:tcPr>
            <w:tcW w:type="dxa" w:w="14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نسبة القيمة</w:t>
            </w:r>
          </w:p>
        </w:tc>
        <w:tc>
          <w:tcPr>
            <w:tcW w:type="dxa" w:w="16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تكرار الجرد</w:t>
            </w:r>
          </w:p>
        </w:tc>
      </w:tr>
      <w:tr>
        <w:tc>
          <w:tcPr>
            <w:tcW w:type="dxa" w:w="700"/>
            <w:tcBorders>
              <w:top w:val="single" w:color="CCCCCC" w:sz="4"/>
              <w:left w:val="single" w:color="CCCCCC" w:sz="4"/>
              <w:bottom w:val="single" w:color="CCCCCC" w:sz="4"/>
              <w:right w:val="single" w:color="CCCCCC" w:sz="4"/>
            </w:tcBorders>
            <w:shd w:fill="FADBD8"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C0392B"/>
                <w:sz w:val="28"/>
                <w:szCs w:val="28"/>
              </w:rPr>
              <w:t xml:space="preserve">A</w:t>
            </w:r>
          </w:p>
        </w:tc>
        <w:tc>
          <w:tcPr>
            <w:tcW w:type="dxa" w:w="1600"/>
            <w:tcBorders>
              <w:top w:val="single" w:color="CCCCCC" w:sz="4"/>
              <w:left w:val="single" w:color="CCCCCC" w:sz="4"/>
              <w:bottom w:val="single" w:color="CCCCCC" w:sz="4"/>
              <w:right w:val="single" w:color="CCCCCC" w:sz="4"/>
            </w:tcBorders>
            <w:shd w:fill="FADBD8"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خراطيش الطباعة، أطبال HP</w:t>
            </w:r>
          </w:p>
        </w:tc>
        <w:tc>
          <w:tcPr>
            <w:tcW w:type="dxa" w:w="2200"/>
            <w:tcBorders>
              <w:top w:val="single" w:color="CCCCCC" w:sz="4"/>
              <w:left w:val="single" w:color="CCCCCC" w:sz="4"/>
              <w:bottom w:val="single" w:color="CCCCCC" w:sz="4"/>
              <w:right w:val="single" w:color="CCCCCC" w:sz="4"/>
            </w:tcBorders>
            <w:shd w:fill="FADBD8"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8"/>
                <w:szCs w:val="18"/>
              </w:rPr>
              <w:t xml:space="preserve">ART-002, 003, 011</w:t>
            </w:r>
          </w:p>
        </w:tc>
        <w:tc>
          <w:tcPr>
            <w:tcW w:type="dxa" w:w="1400"/>
            <w:tcBorders>
              <w:top w:val="single" w:color="CCCCCC" w:sz="4"/>
              <w:left w:val="single" w:color="CCCCCC" w:sz="4"/>
              <w:bottom w:val="single" w:color="CCCCCC" w:sz="4"/>
              <w:right w:val="single" w:color="CCCCCC" w:sz="4"/>
            </w:tcBorders>
            <w:shd w:fill="FADBD8"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~20%</w:t>
            </w:r>
          </w:p>
        </w:tc>
        <w:tc>
          <w:tcPr>
            <w:tcW w:type="dxa" w:w="1400"/>
            <w:tcBorders>
              <w:top w:val="single" w:color="CCCCCC" w:sz="4"/>
              <w:left w:val="single" w:color="CCCCCC" w:sz="4"/>
              <w:bottom w:val="single" w:color="CCCCCC" w:sz="4"/>
              <w:right w:val="single" w:color="CCCCCC" w:sz="4"/>
            </w:tcBorders>
            <w:shd w:fill="FADBD8"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~80%</w:t>
            </w:r>
          </w:p>
        </w:tc>
        <w:tc>
          <w:tcPr>
            <w:tcW w:type="dxa" w:w="1600"/>
            <w:tcBorders>
              <w:top w:val="single" w:color="CCCCCC" w:sz="4"/>
              <w:left w:val="single" w:color="CCCCCC" w:sz="4"/>
              <w:bottom w:val="single" w:color="CCCCCC" w:sz="4"/>
              <w:right w:val="single" w:color="CCCCCC" w:sz="4"/>
            </w:tcBorders>
            <w:shd w:fill="FADBD8"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شهرياً</w:t>
            </w:r>
          </w:p>
        </w:tc>
      </w:tr>
      <w:tr>
        <w:tc>
          <w:tcPr>
            <w:tcW w:type="dxa" w:w="7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784212"/>
                <w:sz w:val="28"/>
                <w:szCs w:val="28"/>
              </w:rPr>
              <w:t xml:space="preserve">B</w:t>
            </w:r>
          </w:p>
        </w:tc>
        <w:tc>
          <w:tcPr>
            <w:tcW w:type="dxa" w:w="16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رزم الورق A4/A3، دفاتر</w:t>
            </w:r>
          </w:p>
        </w:tc>
        <w:tc>
          <w:tcPr>
            <w:tcW w:type="dxa" w:w="22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8"/>
                <w:szCs w:val="18"/>
              </w:rPr>
              <w:t xml:space="preserve">ART-001, 007, 005</w:t>
            </w:r>
          </w:p>
        </w:tc>
        <w:tc>
          <w:tcPr>
            <w:tcW w:type="dxa" w:w="14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~30%</w:t>
            </w:r>
          </w:p>
        </w:tc>
        <w:tc>
          <w:tcPr>
            <w:tcW w:type="dxa" w:w="14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~15%</w:t>
            </w:r>
          </w:p>
        </w:tc>
        <w:tc>
          <w:tcPr>
            <w:tcW w:type="dxa" w:w="16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فصلياً</w:t>
            </w:r>
          </w:p>
        </w:tc>
      </w:tr>
      <w:tr>
        <w:tc>
          <w:tcPr>
            <w:tcW w:type="dxa" w:w="7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1A5276"/>
                <w:sz w:val="28"/>
                <w:szCs w:val="28"/>
              </w:rPr>
              <w:t xml:space="preserve">C</w:t>
            </w:r>
          </w:p>
        </w:tc>
        <w:tc>
          <w:tcPr>
            <w:tcW w:type="dxa" w:w="16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أقلام، مشابك، لواصق، ممحاة</w:t>
            </w:r>
          </w:p>
        </w:tc>
        <w:tc>
          <w:tcPr>
            <w:tcW w:type="dxa" w:w="22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8"/>
                <w:szCs w:val="18"/>
              </w:rPr>
              <w:t xml:space="preserve">ART-004, 006, 008</w:t>
            </w:r>
          </w:p>
        </w:tc>
        <w:tc>
          <w:tcPr>
            <w:tcW w:type="dxa" w:w="14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~50%</w:t>
            </w:r>
          </w:p>
        </w:tc>
        <w:tc>
          <w:tcPr>
            <w:tcW w:type="dxa" w:w="14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~5%</w:t>
            </w:r>
          </w:p>
        </w:tc>
        <w:tc>
          <w:tcPr>
            <w:tcW w:type="dxa" w:w="16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نصف سنوياً</w:t>
            </w:r>
          </w:p>
        </w:tc>
      </w:tr>
    </w:tbl>
    <w:p>
      <w:pPr>
        <w:bidi/>
        <w:spacing w:before="40" w:after="200" w:line="360" w:lineRule="auto"/>
        <w:jc w:val="center"/>
      </w:pPr>
      <w:r>
        <w:rPr>
          <w:rFonts w:ascii="Traditional Arabic" w:cs="Traditional Arabic" w:eastAsia="Traditional Arabic" w:hAnsi="Traditional Arabic"/>
          <w:b w:val="false"/>
          <w:bCs w:val="false"/>
          <w:color w:val="777777"/>
          <w:sz w:val="18"/>
          <w:szCs w:val="18"/>
        </w:rPr>
        <w:t xml:space="preserve">المصدر: إعداد الطالب — سجلات مصلحة المخازن 2025</w:t>
      </w:r>
    </w:p>
    <w:p>
      <w:pPr>
        <w:bidi/>
        <w:spacing w:after="200" w:before="0" w:line="360" w:lineRule="auto"/>
        <w:jc w:val="center"/>
      </w:pP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يتضح من الجدول أن الفئة A تُشكِّل ما يقارب 20% من إجمالي الأصناف غير أنها تستحوذ على نحو 80% من إجمالي قيمة الاستهلاك، وهو ما يُبرِّر إخضاعها لمراقبة شهرية دقيقة. في المقابل، تُمثِّل الفئة C 50% من الأصناف لكنها لا تتجاوز 5% من القيمة.</w:t>
      </w: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3.3  تطبيق نموذج ويلسون على رزم الورق A4</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رزمة الورق A4 هي المادة الأكثر استهلاكاً في مخزن مديرية التربية (فئة B بالكمية، استراتيجية تشغيلياً). طُبِّق عليها نموذج ويلسون بالمعطيات الفعلية المُستخرَجة من نظام ERP_Academie_v5. يُلخِّص الجدول أدناه المعاملات المُدخَلة:</w:t>
      </w:r>
    </w:p>
    <w:p>
      <w:pPr>
        <w:bidi/>
        <w:spacing w:after="80" w:before="0" w:line="360" w:lineRule="auto"/>
        <w:jc w:val="center"/>
      </w:pPr>
    </w:p>
    <w:p>
      <w:pPr>
        <w:bidi/>
        <w:spacing w:before="60" w:after="120" w:line="360" w:lineRule="auto"/>
        <w:jc w:val="center"/>
      </w:pPr>
      <w:r>
        <w:rPr>
          <w:rFonts w:ascii="Traditional Arabic" w:cs="Traditional Arabic" w:eastAsia="Traditional Arabic" w:hAnsi="Traditional Arabic"/>
          <w:b/>
          <w:bCs/>
          <w:color w:val="0C447C"/>
          <w:sz w:val="22"/>
          <w:szCs w:val="22"/>
        </w:rPr>
        <w:t xml:space="preserve">الجدول رقم (06) — </w:t>
      </w:r>
      <w:r>
        <w:rPr>
          <w:rFonts w:ascii="Traditional Arabic" w:cs="Traditional Arabic" w:eastAsia="Traditional Arabic" w:hAnsi="Traditional Arabic"/>
          <w:b w:val="false"/>
          <w:bCs w:val="false"/>
          <w:color w:val="333333"/>
          <w:sz w:val="22"/>
          <w:szCs w:val="22"/>
        </w:rPr>
        <w:t xml:space="preserve">معاملات نموذج ويلسون المُعتمَدة — رزم الورق A4 80غ/م² (ART-001)</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1800"/>
        <w:gridCol w:w="1800"/>
        <w:gridCol w:w="1700"/>
      </w:tblGrid>
      <w:tr>
        <w:trPr>
          <w:tblHeader/>
        </w:trPr>
        <w:tc>
          <w:tcPr>
            <w:tcW w:type="dxa" w:w="7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الرقم</w:t>
            </w:r>
          </w:p>
        </w:tc>
        <w:tc>
          <w:tcPr>
            <w:tcW w:type="dxa" w:w="29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اسم المعامل</w:t>
            </w:r>
          </w:p>
        </w:tc>
        <w:tc>
          <w:tcPr>
            <w:tcW w:type="dxa" w:w="18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الرمز (FR)</w:t>
            </w:r>
          </w:p>
        </w:tc>
        <w:tc>
          <w:tcPr>
            <w:tcW w:type="dxa" w:w="18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القيمة</w:t>
            </w:r>
          </w:p>
        </w:tc>
        <w:tc>
          <w:tcPr>
            <w:tcW w:type="dxa" w:w="17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الوحدة</w:t>
            </w:r>
          </w:p>
        </w:tc>
      </w:tr>
      <w:tr>
        <w:tc>
          <w:tcPr>
            <w:tcW w:type="dxa" w:w="700"/>
            <w:tcBorders>
              <w:top w:val="single" w:color="CCCCCC" w:sz="4"/>
              <w:left w:val="single" w:color="CCCCCC" w:sz="4"/>
              <w:bottom w:val="single" w:color="CCCCCC" w:sz="4"/>
              <w:right w:val="single" w:color="CCCCCC" w:sz="4"/>
            </w:tcBorders>
            <w:shd w:fill="F2F3F4"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1</w:t>
            </w:r>
          </w:p>
        </w:tc>
        <w:tc>
          <w:tcPr>
            <w:tcW w:type="dxa" w:w="29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الطلب السنوي — مُستخرَج من سجل الحركات الفعلي</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8"/>
                <w:szCs w:val="18"/>
              </w:rPr>
              <w:t xml:space="preserve">D — Demande annuelle</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1 546</w:t>
            </w:r>
          </w:p>
        </w:tc>
        <w:tc>
          <w:tcPr>
            <w:tcW w:type="dxa" w:w="17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رزمة/سنة</w:t>
            </w:r>
          </w:p>
        </w:tc>
      </w:tr>
      <w:tr>
        <w:tc>
          <w:tcPr>
            <w:tcW w:type="dxa" w:w="700"/>
            <w:tcBorders>
              <w:top w:val="single" w:color="CCCCCC" w:sz="4"/>
              <w:left w:val="single" w:color="CCCCCC" w:sz="4"/>
              <w:bottom w:val="single" w:color="CCCCCC" w:sz="4"/>
              <w:right w:val="single" w:color="CCCCCC" w:sz="4"/>
            </w:tcBorders>
            <w:shd w:fill="F2F3F4"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2</w:t>
            </w:r>
          </w:p>
        </w:tc>
        <w:tc>
          <w:tcPr>
            <w:tcW w:type="dxa" w:w="29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تكلفة إصدار الطلبية الواحدة</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8"/>
                <w:szCs w:val="18"/>
              </w:rPr>
              <w:t xml:space="preserve">CL — Coût passation</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50</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دج/طلبية</w:t>
            </w:r>
          </w:p>
        </w:tc>
      </w:tr>
      <w:tr>
        <w:tc>
          <w:tcPr>
            <w:tcW w:type="dxa" w:w="700"/>
            <w:tcBorders>
              <w:top w:val="single" w:color="CCCCCC" w:sz="4"/>
              <w:left w:val="single" w:color="CCCCCC" w:sz="4"/>
              <w:bottom w:val="single" w:color="CCCCCC" w:sz="4"/>
              <w:right w:val="single" w:color="CCCCCC" w:sz="4"/>
            </w:tcBorders>
            <w:shd w:fill="F2F3F4"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3</w:t>
            </w:r>
          </w:p>
        </w:tc>
        <w:tc>
          <w:tcPr>
            <w:tcW w:type="dxa" w:w="29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السعر الوحدوي لرزمة الورق A4</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8"/>
                <w:szCs w:val="18"/>
              </w:rPr>
              <w:t xml:space="preserve">PU — Prix unitaire</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400</w:t>
            </w:r>
          </w:p>
        </w:tc>
        <w:tc>
          <w:tcPr>
            <w:tcW w:type="dxa" w:w="17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دج/رزمة</w:t>
            </w:r>
          </w:p>
        </w:tc>
      </w:tr>
      <w:tr>
        <w:tc>
          <w:tcPr>
            <w:tcW w:type="dxa" w:w="700"/>
            <w:tcBorders>
              <w:top w:val="single" w:color="CCCCCC" w:sz="4"/>
              <w:left w:val="single" w:color="CCCCCC" w:sz="4"/>
              <w:bottom w:val="single" w:color="CCCCCC" w:sz="4"/>
              <w:right w:val="single" w:color="CCCCCC" w:sz="4"/>
            </w:tcBorders>
            <w:shd w:fill="F2F3F4"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4</w:t>
            </w:r>
          </w:p>
        </w:tc>
        <w:tc>
          <w:tcPr>
            <w:tcW w:type="dxa" w:w="29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معدل الاحتفاظ السنوي المُعتمَد</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8"/>
                <w:szCs w:val="18"/>
              </w:rPr>
              <w:t xml:space="preserve">t — Taux possession</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20%</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من قيمة المادة</w:t>
            </w:r>
          </w:p>
        </w:tc>
      </w:tr>
      <w:tr>
        <w:tc>
          <w:tcPr>
            <w:tcW w:type="dxa" w:w="700"/>
            <w:tcBorders>
              <w:top w:val="single" w:color="CCCCCC" w:sz="4"/>
              <w:left w:val="single" w:color="CCCCCC" w:sz="4"/>
              <w:bottom w:val="single" w:color="CCCCCC" w:sz="4"/>
              <w:right w:val="single" w:color="CCCCCC" w:sz="4"/>
            </w:tcBorders>
            <w:shd w:fill="F2F3F4"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5</w:t>
            </w:r>
          </w:p>
        </w:tc>
        <w:tc>
          <w:tcPr>
            <w:tcW w:type="dxa" w:w="29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مخزون الأمان المُقرَّر</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8"/>
                <w:szCs w:val="18"/>
              </w:rPr>
              <w:t xml:space="preserve">SS — Stock sécurité</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200</w:t>
            </w:r>
          </w:p>
        </w:tc>
        <w:tc>
          <w:tcPr>
            <w:tcW w:type="dxa" w:w="17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رزمة</w:t>
            </w:r>
          </w:p>
        </w:tc>
      </w:tr>
      <w:tr>
        <w:tc>
          <w:tcPr>
            <w:tcW w:type="dxa" w:w="700"/>
            <w:tcBorders>
              <w:top w:val="single" w:color="CCCCCC" w:sz="4"/>
              <w:left w:val="single" w:color="CCCCCC" w:sz="4"/>
              <w:bottom w:val="single" w:color="CCCCCC" w:sz="4"/>
              <w:right w:val="single" w:color="CCCCCC" w:sz="4"/>
            </w:tcBorders>
            <w:shd w:fill="F2F3F4"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6</w:t>
            </w:r>
          </w:p>
        </w:tc>
        <w:tc>
          <w:tcPr>
            <w:tcW w:type="dxa" w:w="29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أجل التسليم من وهران إلى البيض</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8"/>
                <w:szCs w:val="18"/>
              </w:rPr>
              <w:t xml:space="preserve">LT — Lead Time</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2</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يوم عمل</w:t>
            </w:r>
          </w:p>
        </w:tc>
      </w:tr>
    </w:tbl>
    <w:p>
      <w:pPr>
        <w:bidi/>
        <w:spacing w:before="40" w:after="200" w:line="360" w:lineRule="auto"/>
        <w:jc w:val="center"/>
      </w:pPr>
      <w:r>
        <w:rPr>
          <w:rFonts w:ascii="Traditional Arabic" w:cs="Traditional Arabic" w:eastAsia="Traditional Arabic" w:hAnsi="Traditional Arabic"/>
          <w:b w:val="false"/>
          <w:bCs w:val="false"/>
          <w:color w:val="777777"/>
          <w:sz w:val="18"/>
          <w:szCs w:val="18"/>
        </w:rPr>
        <w:t xml:space="preserve">المصدر: إعداد الطالب — بيانات ERP_Academie_v5_final | فترة الرصد: 01/02/2026 – 10/03/2026</w:t>
      </w:r>
    </w:p>
    <w:p>
      <w:pPr>
        <w:bidi/>
        <w:spacing w:after="200" w:before="0" w:line="360" w:lineRule="auto"/>
        <w:jc w:val="center"/>
      </w:pP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3.4  نتائج حساب نموذج ويلسون ونقطة إعادة الطلب</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بناءً على المعطيات السابقة، أُجري الحساب الكامل وفق صيغ نموذج ويلسون. تُعرض النتائج في الجدول أدناه:</w:t>
      </w:r>
    </w:p>
    <w:p>
      <w:pPr>
        <w:bidi/>
        <w:spacing w:after="80" w:before="0" w:line="360" w:lineRule="auto"/>
        <w:jc w:val="center"/>
      </w:pPr>
    </w:p>
    <w:p>
      <w:pPr>
        <w:bidi/>
        <w:spacing w:before="60" w:after="120" w:line="360" w:lineRule="auto"/>
        <w:jc w:val="center"/>
      </w:pPr>
      <w:r>
        <w:rPr>
          <w:rFonts w:ascii="Traditional Arabic" w:cs="Traditional Arabic" w:eastAsia="Traditional Arabic" w:hAnsi="Traditional Arabic"/>
          <w:b/>
          <w:bCs/>
          <w:color w:val="0C447C"/>
          <w:sz w:val="22"/>
          <w:szCs w:val="22"/>
        </w:rPr>
        <w:t xml:space="preserve">الجدول رقم (07) — </w:t>
      </w:r>
      <w:r>
        <w:rPr>
          <w:rFonts w:ascii="Traditional Arabic" w:cs="Traditional Arabic" w:eastAsia="Traditional Arabic" w:hAnsi="Traditional Arabic"/>
          <w:b w:val="false"/>
          <w:bCs w:val="false"/>
          <w:color w:val="333333"/>
          <w:sz w:val="22"/>
          <w:szCs w:val="22"/>
        </w:rPr>
        <w:t xml:space="preserve">نتائج تطبيق نموذج ويلسون — مادة رزم الورق A4 — مخزن مديرية التربية البيض</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800"/>
        <w:gridCol w:w="1900"/>
        <w:gridCol w:w="1700"/>
      </w:tblGrid>
      <w:tr>
        <w:trPr>
          <w:tblHeader/>
        </w:trPr>
        <w:tc>
          <w:tcPr>
            <w:tcW w:type="dxa" w:w="700"/>
            <w:tcBorders>
              <w:top w:val="single" w:color="0C447C" w:sz="4"/>
              <w:left w:val="single" w:color="0C447C" w:sz="4"/>
              <w:bottom w:val="single" w:color="0C447C" w:sz="4"/>
              <w:right w:val="single" w:color="0C447C" w:sz="4"/>
            </w:tcBorders>
            <w:shd w:fill="1A5276"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الرقم</w:t>
            </w:r>
          </w:p>
        </w:tc>
        <w:tc>
          <w:tcPr>
            <w:tcW w:type="dxa" w:w="2800"/>
            <w:tcBorders>
              <w:top w:val="single" w:color="0C447C" w:sz="4"/>
              <w:left w:val="single" w:color="0C447C" w:sz="4"/>
              <w:bottom w:val="single" w:color="0C447C" w:sz="4"/>
              <w:right w:val="single" w:color="0C447C" w:sz="4"/>
            </w:tcBorders>
            <w:shd w:fill="1A5276"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المؤشر</w:t>
            </w:r>
          </w:p>
        </w:tc>
        <w:tc>
          <w:tcPr>
            <w:tcW w:type="dxa" w:w="1800"/>
            <w:tcBorders>
              <w:top w:val="single" w:color="0C447C" w:sz="4"/>
              <w:left w:val="single" w:color="0C447C" w:sz="4"/>
              <w:bottom w:val="single" w:color="0C447C" w:sz="4"/>
              <w:right w:val="single" w:color="0C447C" w:sz="4"/>
            </w:tcBorders>
            <w:shd w:fill="1A5276"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الرمز</w:t>
            </w:r>
          </w:p>
        </w:tc>
        <w:tc>
          <w:tcPr>
            <w:tcW w:type="dxa" w:w="1900"/>
            <w:tcBorders>
              <w:top w:val="single" w:color="0C447C" w:sz="4"/>
              <w:left w:val="single" w:color="0C447C" w:sz="4"/>
              <w:bottom w:val="single" w:color="0C447C" w:sz="4"/>
              <w:right w:val="single" w:color="0C447C" w:sz="4"/>
            </w:tcBorders>
            <w:shd w:fill="1A5276"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القيمة المحسوبة</w:t>
            </w:r>
          </w:p>
        </w:tc>
        <w:tc>
          <w:tcPr>
            <w:tcW w:type="dxa" w:w="1700"/>
            <w:tcBorders>
              <w:top w:val="single" w:color="0C447C" w:sz="4"/>
              <w:left w:val="single" w:color="0C447C" w:sz="4"/>
              <w:bottom w:val="single" w:color="0C447C" w:sz="4"/>
              <w:right w:val="single" w:color="0C447C" w:sz="4"/>
            </w:tcBorders>
            <w:shd w:fill="1A5276"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الوحدة</w:t>
            </w:r>
          </w:p>
        </w:tc>
      </w:tr>
      <w:tr>
        <w:tc>
          <w:tcPr>
            <w:tcW w:type="dxa" w:w="700"/>
            <w:tcBorders>
              <w:top w:val="single" w:color="CCCCCC" w:sz="4"/>
              <w:left w:val="single" w:color="CCCCCC" w:sz="4"/>
              <w:bottom w:val="single" w:color="CCCCCC" w:sz="4"/>
              <w:right w:val="single" w:color="CCCCCC" w:sz="4"/>
            </w:tcBorders>
            <w:shd w:fill="F2F3F4"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1</w:t>
            </w:r>
          </w:p>
        </w:tc>
        <w:tc>
          <w:tcPr>
            <w:tcW w:type="dxa" w:w="28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الكمية الاقتصادية المثلى للطلبية</w:t>
            </w:r>
          </w:p>
        </w:tc>
        <w:tc>
          <w:tcPr>
            <w:tcW w:type="dxa" w:w="18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jc w:val="center"/>
            </w:pPr>
            <w:r>
              <w:rPr>
                <w:rFonts w:ascii="Arial" w:cs="Arial" w:eastAsia="Arial" w:hAnsi="Arial"/>
                <w:b/>
                <w:bCs/>
                <w:color w:val="1A5276"/>
                <w:sz w:val="20"/>
                <w:szCs w:val="20"/>
              </w:rPr>
              <w:t xml:space="preserve">EOQ / Q*</w:t>
            </w:r>
          </w:p>
        </w:tc>
        <w:tc>
          <w:tcPr>
            <w:tcW w:type="dxa" w:w="19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 131</w:t>
            </w:r>
          </w:p>
        </w:tc>
        <w:tc>
          <w:tcPr>
            <w:tcW w:type="dxa" w:w="17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رزمة</w:t>
            </w:r>
          </w:p>
        </w:tc>
      </w:tr>
      <w:tr>
        <w:tc>
          <w:tcPr>
            <w:tcW w:type="dxa" w:w="700"/>
            <w:tcBorders>
              <w:top w:val="single" w:color="CCCCCC" w:sz="4"/>
              <w:left w:val="single" w:color="CCCCCC" w:sz="4"/>
              <w:bottom w:val="single" w:color="CCCCCC" w:sz="4"/>
              <w:right w:val="single" w:color="CCCCCC" w:sz="4"/>
            </w:tcBorders>
            <w:shd w:fill="F2F3F4"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2</w:t>
            </w:r>
          </w:p>
        </w:tc>
        <w:tc>
          <w:tcPr>
            <w:tcW w:type="dxa" w:w="2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عدد الطلبيات المثلى في السنة</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20"/>
                <w:szCs w:val="20"/>
              </w:rPr>
              <w:t xml:space="preserve">N</w:t>
            </w:r>
          </w:p>
        </w:tc>
        <w:tc>
          <w:tcPr>
            <w:tcW w:type="dxa" w:w="19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 11.8</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طلبية/سنة</w:t>
            </w:r>
          </w:p>
        </w:tc>
      </w:tr>
      <w:tr>
        <w:tc>
          <w:tcPr>
            <w:tcW w:type="dxa" w:w="700"/>
            <w:tcBorders>
              <w:top w:val="single" w:color="CCCCCC" w:sz="4"/>
              <w:left w:val="single" w:color="CCCCCC" w:sz="4"/>
              <w:bottom w:val="single" w:color="CCCCCC" w:sz="4"/>
              <w:right w:val="single" w:color="CCCCCC" w:sz="4"/>
            </w:tcBorders>
            <w:shd w:fill="F2F3F4"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3</w:t>
            </w:r>
          </w:p>
        </w:tc>
        <w:tc>
          <w:tcPr>
            <w:tcW w:type="dxa" w:w="2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نقطة إعادة الطلب</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jc w:val="center"/>
            </w:pPr>
            <w:r>
              <w:rPr>
                <w:rFonts w:ascii="Arial" w:cs="Arial" w:eastAsia="Arial" w:hAnsi="Arial"/>
                <w:b/>
                <w:bCs/>
                <w:color w:val="1A5276"/>
                <w:sz w:val="20"/>
                <w:szCs w:val="20"/>
              </w:rPr>
              <w:t xml:space="preserve">ROP</w:t>
            </w:r>
          </w:p>
        </w:tc>
        <w:tc>
          <w:tcPr>
            <w:tcW w:type="dxa" w:w="19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 212</w:t>
            </w:r>
          </w:p>
        </w:tc>
        <w:tc>
          <w:tcPr>
            <w:tcW w:type="dxa" w:w="17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رزمة</w:t>
            </w:r>
          </w:p>
        </w:tc>
      </w:tr>
      <w:tr>
        <w:tc>
          <w:tcPr>
            <w:tcW w:type="dxa" w:w="700"/>
            <w:tcBorders>
              <w:top w:val="single" w:color="CCCCCC" w:sz="4"/>
              <w:left w:val="single" w:color="CCCCCC" w:sz="4"/>
              <w:bottom w:val="single" w:color="CCCCCC" w:sz="4"/>
              <w:right w:val="single" w:color="CCCCCC" w:sz="4"/>
            </w:tcBorders>
            <w:shd w:fill="F2F3F4"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4</w:t>
            </w:r>
          </w:p>
        </w:tc>
        <w:tc>
          <w:tcPr>
            <w:tcW w:type="dxa" w:w="2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تكلفة الإصدار السنوية</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20"/>
                <w:szCs w:val="20"/>
              </w:rPr>
              <w:t xml:space="preserve">Cp</w:t>
            </w:r>
          </w:p>
        </w:tc>
        <w:tc>
          <w:tcPr>
            <w:tcW w:type="dxa" w:w="19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 590</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دج/سنة</w:t>
            </w:r>
          </w:p>
        </w:tc>
      </w:tr>
      <w:tr>
        <w:tc>
          <w:tcPr>
            <w:tcW w:type="dxa" w:w="700"/>
            <w:tcBorders>
              <w:top w:val="single" w:color="CCCCCC" w:sz="4"/>
              <w:left w:val="single" w:color="CCCCCC" w:sz="4"/>
              <w:bottom w:val="single" w:color="CCCCCC" w:sz="4"/>
              <w:right w:val="single" w:color="CCCCCC" w:sz="4"/>
            </w:tcBorders>
            <w:shd w:fill="F2F3F4"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5</w:t>
            </w:r>
          </w:p>
        </w:tc>
        <w:tc>
          <w:tcPr>
            <w:tcW w:type="dxa" w:w="2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تكلفة الاحتفاظ السنوية</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20"/>
                <w:szCs w:val="20"/>
              </w:rPr>
              <w:t xml:space="preserve">Cd</w:t>
            </w:r>
          </w:p>
        </w:tc>
        <w:tc>
          <w:tcPr>
            <w:tcW w:type="dxa" w:w="19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 22 240</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دج/سنة</w:t>
            </w:r>
          </w:p>
        </w:tc>
      </w:tr>
      <w:tr>
        <w:tc>
          <w:tcPr>
            <w:tcW w:type="dxa" w:w="700"/>
            <w:tcBorders>
              <w:top w:val="single" w:color="CCCCCC" w:sz="4"/>
              <w:left w:val="single" w:color="CCCCCC" w:sz="4"/>
              <w:bottom w:val="single" w:color="CCCCCC" w:sz="4"/>
              <w:right w:val="single" w:color="CCCCCC" w:sz="4"/>
            </w:tcBorders>
            <w:shd w:fill="F2F3F4"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6</w:t>
            </w:r>
          </w:p>
        </w:tc>
        <w:tc>
          <w:tcPr>
            <w:tcW w:type="dxa" w:w="28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إجمالي التكاليف المتغيرة (CVT)</w:t>
            </w:r>
          </w:p>
        </w:tc>
        <w:tc>
          <w:tcPr>
            <w:tcW w:type="dxa" w:w="18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jc w:val="center"/>
            </w:pPr>
            <w:r>
              <w:rPr>
                <w:rFonts w:ascii="Arial" w:cs="Arial" w:eastAsia="Arial" w:hAnsi="Arial"/>
                <w:b/>
                <w:bCs/>
                <w:color w:val="1A5276"/>
                <w:sz w:val="20"/>
                <w:szCs w:val="20"/>
              </w:rPr>
              <w:t xml:space="preserve">CVT</w:t>
            </w:r>
          </w:p>
        </w:tc>
        <w:tc>
          <w:tcPr>
            <w:tcW w:type="dxa" w:w="19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 22 830</w:t>
            </w:r>
          </w:p>
        </w:tc>
        <w:tc>
          <w:tcPr>
            <w:tcW w:type="dxa" w:w="17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دج/سنة</w:t>
            </w:r>
          </w:p>
        </w:tc>
      </w:tr>
    </w:tbl>
    <w:p>
      <w:pPr>
        <w:bidi/>
        <w:spacing w:before="40" w:after="200" w:line="360" w:lineRule="auto"/>
        <w:jc w:val="center"/>
      </w:pPr>
      <w:r>
        <w:rPr>
          <w:rFonts w:ascii="Traditional Arabic" w:cs="Traditional Arabic" w:eastAsia="Traditional Arabic" w:hAnsi="Traditional Arabic"/>
          <w:b w:val="false"/>
          <w:bCs w:val="false"/>
          <w:color w:val="777777"/>
          <w:sz w:val="18"/>
          <w:szCs w:val="18"/>
        </w:rPr>
        <w:t xml:space="preserve">المصدر: إعداد الطالب — حساب بنظام ERP_Academie_v5_final.xlsx | مارس 2026</w:t>
      </w:r>
    </w:p>
    <w:p>
      <w:pPr>
        <w:bidi/>
        <w:spacing w:after="200" w:before="0" w:line="360" w:lineRule="auto"/>
        <w:jc w:val="center"/>
      </w:pP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تُكشف النتائج عن أن Q*=131 رزمة تُوازن بين تكلفة الإصدار وتكلفة الاحتفاظ بصورة مُثلى. غير أن الواقع التشغيلي (البُعد الجغرافي، أجل التسليم، محدودية الموردين) يُبرِّر التوجُّه نحو طلبيات ذات حجم أكبر في إطار نظام الطلبية المفتوحة. أما ROP=212 رزمة فتُعني وجوب إصدار أمر الشراء حين يصل الرصيد إلى هذا المستوى — وهو ما تُنفِّذه آلية '&gt;&gt; COMMANDER' في لوحة القيادة.</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خلاصة الفصل الثالث: أثبت التشخيص الميداني صحّةَ الفرضيتين: غياب التنبيه الآلي يُسبِّب النفاد المتكرر، وضعف بنية البيانات يُعيق التحليل الكمي. هذا يُشكِّل الأساس العلمي لبناء الحل المقترح في الفصل الرابع.</w:t>
      </w:r>
    </w:p>
    <w:p>
      <w:r>
        <w:br w:type="page"/>
      </w:r>
    </w:p>
    <w:p>
      <w:pPr>
        <w:bidi/>
        <w:spacing w:before="0" w:after="220" w:line="360" w:lineRule="auto"/>
        <w:jc w:val="right"/>
      </w:pPr>
      <w:r>
        <w:rPr>
          <w:rFonts w:ascii="Traditional Arabic" w:cs="Traditional Arabic" w:eastAsia="Traditional Arabic" w:hAnsi="Traditional Arabic"/>
          <w:b/>
          <w:bCs/>
          <w:color w:val="1B2631"/>
          <w:sz w:val="32"/>
          <w:szCs w:val="32"/>
        </w:rPr>
        <w:t xml:space="preserve">الفصل الرابع — الحل المقترح: نظام Mini ERP بـ Excel/VBA</w:t>
      </w:r>
    </w:p>
    <w:p>
      <w:pPr>
        <w:bidi/>
        <w:spacing w:before="80" w:after="120" w:line="360" w:lineRule="auto"/>
        <w:jc w:val="right"/>
      </w:pPr>
      <w:r>
        <w:rPr>
          <w:rFonts w:ascii="Traditional Arabic" w:cs="Traditional Arabic" w:eastAsia="Traditional Arabic" w:hAnsi="Traditional Arabic"/>
          <w:b/>
          <w:bCs/>
          <w:color w:val="1A5276"/>
          <w:sz w:val="24"/>
          <w:szCs w:val="24"/>
        </w:rPr>
        <w:t xml:space="preserve">تمهيد</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يُقدِّم هذا الفصل نظام Mini ERP الذي جرى تصميمه وتطبيقه خلال فترة التربص في مخزن مديرية التربية لولاية البيض. يشمل العرضُ منهجيةَ البناء، وبنية الملف التسعية، والوظائف الآلية المُبرمَجة بـ VBA، وصولاً إلى قياس مؤشرات الأداء قبل وبعد التطبيق، وتقديم التوصيات الختامية للإدارة.</w:t>
      </w: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4.1  مبررات اختيار Excel/VBA — لماذا لا نظام تجاري؟</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رُجِّح حل Excel/VBA على الأنظمة التجارية (Odoo، SAP، Microsoft Dynamics) لأربعة اعتبارات عملية يُفرضها الواقع المؤسسي للإدارة الجزائرية: أولاً التوافر المُسبَق — يُوجَد Microsoft Office في كل إدارة حكومية جزائرية دون أي تكلفة ترخيص إضافية. ثانياً التكيُّف مع المستخدم الحالي — يستخدم طاقم المخزن Excel في عمله اليومي. ثالثاً التخصيص الكامل — يمكن ضبط كل معيار وفق الإجراءات المحلية. رابعاً الاستقلالية — يعمل الملف بدون اتصال بالإنترنت في بيئة إدارية نائية.</w:t>
      </w: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4.2  بنية نظام ERP_Academie_v5 — التسع صفحات</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يتكوَّن ملف ERP_Academie_v5_final.xlsx من تسع صفحات متكاملة تُشكِّل معاً منظومةً متكاملةً لدورة الشراء والتخزين، من الدخول الأول للمادة إلى قرار إعادة الطلب:</w:t>
      </w:r>
    </w:p>
    <w:p>
      <w:pPr>
        <w:bidi/>
        <w:spacing w:after="80" w:before="0" w:line="360" w:lineRule="auto"/>
        <w:jc w:val="center"/>
      </w:pPr>
    </w:p>
    <w:p>
      <w:pPr>
        <w:bidi/>
        <w:spacing w:before="60" w:after="120" w:line="360" w:lineRule="auto"/>
        <w:jc w:val="center"/>
      </w:pPr>
      <w:r>
        <w:rPr>
          <w:rFonts w:ascii="Traditional Arabic" w:cs="Traditional Arabic" w:eastAsia="Traditional Arabic" w:hAnsi="Traditional Arabic"/>
          <w:b/>
          <w:bCs/>
          <w:color w:val="0C447C"/>
          <w:sz w:val="22"/>
          <w:szCs w:val="22"/>
        </w:rPr>
        <w:t xml:space="preserve">الجدول رقم (08) — </w:t>
      </w:r>
      <w:r>
        <w:rPr>
          <w:rFonts w:ascii="Traditional Arabic" w:cs="Traditional Arabic" w:eastAsia="Traditional Arabic" w:hAnsi="Traditional Arabic"/>
          <w:b w:val="false"/>
          <w:bCs w:val="false"/>
          <w:color w:val="333333"/>
          <w:sz w:val="22"/>
          <w:szCs w:val="22"/>
        </w:rPr>
        <w:t xml:space="preserve">بنية نظام ERP_Academie_v5_final — الصفحات التسع ووظائفها</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700"/>
      </w:tblGrid>
      <w:tr>
        <w:trPr>
          <w:tblHeader/>
        </w:trPr>
        <w:tc>
          <w:tcPr>
            <w:tcW w:type="dxa" w:w="14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Arial" w:cs="Arial" w:eastAsia="Arial" w:hAnsi="Arial"/>
                <w:b/>
                <w:bCs/>
                <w:color w:val="FFFFFF"/>
                <w:sz w:val="18"/>
                <w:szCs w:val="18"/>
              </w:rPr>
              <w:t xml:space="preserve">الصفحة (FR)</w:t>
            </w:r>
          </w:p>
        </w:tc>
        <w:tc>
          <w:tcPr>
            <w:tcW w:type="dxa" w:w="18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الاسم بالعربية</w:t>
            </w:r>
          </w:p>
        </w:tc>
        <w:tc>
          <w:tcPr>
            <w:tcW w:type="dxa" w:w="57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المحتوى والوظيفة</w:t>
            </w:r>
          </w:p>
        </w:tc>
      </w:tr>
      <w:tr>
        <w:tc>
          <w:tcPr>
            <w:tcW w:type="dxa" w:w="14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ACCUEIL</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الواجهة الرئيسية</w:t>
            </w:r>
          </w:p>
        </w:tc>
        <w:tc>
          <w:tcPr>
            <w:tcW w:type="dxa" w:w="57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صفحة ترحيبية: اسم المؤسسة، تاريخ آخر تحديث، أزرار تنقل سريع</w:t>
            </w:r>
          </w:p>
        </w:tc>
      </w:tr>
      <w:tr>
        <w:tc>
          <w:tcPr>
            <w:tcW w:type="dxa" w:w="1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ARTICLES</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قاموس المواد</w:t>
            </w:r>
          </w:p>
        </w:tc>
        <w:tc>
          <w:tcPr>
            <w:tcW w:type="dxa" w:w="5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15 مادة: رمز، تسمية، وحدة، فئة ABC، الحد الأدنى/الأقصى، مورد، موقع في المخزن</w:t>
            </w:r>
          </w:p>
        </w:tc>
      </w:tr>
      <w:tr>
        <w:tc>
          <w:tcPr>
            <w:tcW w:type="dxa" w:w="14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FOURNISSEURS</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الموردون</w:t>
            </w:r>
          </w:p>
        </w:tc>
        <w:tc>
          <w:tcPr>
            <w:tcW w:type="dxa" w:w="57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5 موردين مع بطاقة تقييم مرجَّح: الجودة ×4، السعر ×3، الأجل ×1.5، الشروط ×1.5</w:t>
            </w:r>
          </w:p>
        </w:tc>
      </w:tr>
      <w:tr>
        <w:tc>
          <w:tcPr>
            <w:tcW w:type="dxa" w:w="1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MOUVEMENTS</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سجل الحركات</w:t>
            </w:r>
          </w:p>
        </w:tc>
        <w:tc>
          <w:tcPr>
            <w:tcW w:type="dxa" w:w="5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كل دخول/خروج: التاريخ، الرمز، الكمية، الرصيد الآلي، CMUP الديناميكي، عمود التحقق</w:t>
            </w:r>
          </w:p>
        </w:tc>
      </w:tr>
      <w:tr>
        <w:tc>
          <w:tcPr>
            <w:tcW w:type="dxa" w:w="14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TABLEAU DE BORD</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لوحة القيادة</w:t>
            </w:r>
          </w:p>
        </w:tc>
        <w:tc>
          <w:tcPr>
            <w:tcW w:type="dxa" w:w="57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4 مؤشرات KPI فورية: القيمة الإجمالية، تنبيهات ROP، المادة الأكثر استهلاكاً، آخر 5 حركات</w:t>
            </w:r>
          </w:p>
        </w:tc>
      </w:tr>
      <w:tr>
        <w:tc>
          <w:tcPr>
            <w:tcW w:type="dxa" w:w="1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INVENTAIRE</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الجرد الدائم</w:t>
            </w:r>
          </w:p>
        </w:tc>
        <w:tc>
          <w:tcPr>
            <w:tcW w:type="dxa" w:w="5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مقارنة آلية: الرصيد الفيزيائي مقابل الرصيد المحاسبي وحساب فوارق الجرد</w:t>
            </w:r>
          </w:p>
        </w:tc>
      </w:tr>
      <w:tr>
        <w:tc>
          <w:tcPr>
            <w:tcW w:type="dxa" w:w="14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CALCULS_EOQ</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حساب ويلسون</w:t>
            </w:r>
          </w:p>
        </w:tc>
        <w:tc>
          <w:tcPr>
            <w:tcW w:type="dxa" w:w="57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EOQ، N، ROP، Cp، Cd، CVT — D مُحسَب تلقائياً من سجل الحركات وقابل للتحديث</w:t>
            </w:r>
          </w:p>
        </w:tc>
      </w:tr>
      <w:tr>
        <w:tc>
          <w:tcPr>
            <w:tcW w:type="dxa" w:w="1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HISTORIQUE</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تاريخ الطلبيات</w:t>
            </w:r>
          </w:p>
        </w:tc>
        <w:tc>
          <w:tcPr>
            <w:tcW w:type="dxa" w:w="5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أرشيف أوامر الشراء: المورد، المادة، الكمية، الحالة (مُسلَّم / معلَّق)</w:t>
            </w:r>
          </w:p>
        </w:tc>
      </w:tr>
      <w:tr>
        <w:tc>
          <w:tcPr>
            <w:tcW w:type="dxa" w:w="14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jc w:val="center"/>
            </w:pPr>
            <w:r>
              <w:rPr>
                <w:rFonts w:ascii="Arial" w:cs="Arial" w:eastAsia="Arial" w:hAnsi="Arial"/>
                <w:b/>
                <w:bCs/>
                <w:color w:val="1A5276"/>
                <w:sz w:val="18"/>
                <w:szCs w:val="18"/>
              </w:rPr>
              <w:t xml:space="preserve">GUIDE</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دليل الاستخدام</w:t>
            </w:r>
          </w:p>
        </w:tc>
        <w:tc>
          <w:tcPr>
            <w:tcW w:type="dxa" w:w="57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خطوات تشغيل النظام بالعربية لمسؤول المخزن دون حاجة لتدريب متخصص</w:t>
            </w:r>
          </w:p>
        </w:tc>
      </w:tr>
    </w:tbl>
    <w:p>
      <w:pPr>
        <w:bidi/>
        <w:spacing w:before="40" w:after="200" w:line="360" w:lineRule="auto"/>
        <w:jc w:val="center"/>
      </w:pPr>
      <w:r>
        <w:rPr>
          <w:rFonts w:ascii="Traditional Arabic" w:cs="Traditional Arabic" w:eastAsia="Traditional Arabic" w:hAnsi="Traditional Arabic"/>
          <w:b w:val="false"/>
          <w:bCs w:val="false"/>
          <w:color w:val="777777"/>
          <w:sz w:val="18"/>
          <w:szCs w:val="18"/>
        </w:rPr>
        <w:t xml:space="preserve">المصدر: إعداد الطالب — ERP_Academie_v5_final.xlsx | مارس 2026</w:t>
      </w:r>
    </w:p>
    <w:p>
      <w:pPr>
        <w:bidi/>
        <w:spacing w:after="200" w:before="0" w:line="360" w:lineRule="auto"/>
        <w:jc w:val="center"/>
      </w:pP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4.3  الوظائف الآلية — الـ VBA Macros</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تمَّ برمجة ثلاث وظائف VBA رئيسية تُشكِّل العمود الفقري للأتمتة في النظام:</w:t>
      </w:r>
    </w:p>
    <w:p>
      <w:pPr>
        <w:bidi/>
        <w:spacing w:after="80" w:before="0" w:line="360" w:lineRule="auto"/>
        <w:jc w:val="center"/>
      </w:pPr>
    </w:p>
    <w:p>
      <w:pPr>
        <w:bidi/>
        <w:spacing w:before="60" w:after="120" w:line="360" w:lineRule="auto"/>
        <w:jc w:val="center"/>
      </w:pPr>
      <w:r>
        <w:rPr>
          <w:rFonts w:ascii="Traditional Arabic" w:cs="Traditional Arabic" w:eastAsia="Traditional Arabic" w:hAnsi="Traditional Arabic"/>
          <w:b/>
          <w:bCs/>
          <w:color w:val="0C447C"/>
          <w:sz w:val="22"/>
          <w:szCs w:val="22"/>
        </w:rPr>
        <w:t xml:space="preserve">الجدول رقم (09) — </w:t>
      </w:r>
      <w:r>
        <w:rPr>
          <w:rFonts w:ascii="Traditional Arabic" w:cs="Traditional Arabic" w:eastAsia="Traditional Arabic" w:hAnsi="Traditional Arabic"/>
          <w:b w:val="false"/>
          <w:bCs w:val="false"/>
          <w:color w:val="333333"/>
          <w:sz w:val="22"/>
          <w:szCs w:val="22"/>
        </w:rPr>
        <w:t xml:space="preserve">الوظائف الآلية المُبرمَجة بـ VBA وأثرها التشغيلي</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400"/>
        <w:gridCol w:w="2100"/>
      </w:tblGrid>
      <w:tr>
        <w:trPr>
          <w:tblHeader/>
        </w:trPr>
        <w:tc>
          <w:tcPr>
            <w:tcW w:type="dxa" w:w="2000"/>
            <w:tcBorders>
              <w:top w:val="single" w:color="0C447C" w:sz="4"/>
              <w:left w:val="single" w:color="0C447C" w:sz="4"/>
              <w:bottom w:val="single" w:color="0C447C" w:sz="4"/>
              <w:right w:val="single" w:color="0C447C" w:sz="4"/>
            </w:tcBorders>
            <w:shd w:fill="1A5276" w:color="auto" w:val="clear"/>
            <w:tcMar>
              <w:top w:type="dxa" w:w="100"/>
              <w:left w:type="dxa" w:w="140"/>
              <w:bottom w:type="dxa" w:w="100"/>
              <w:right w:type="dxa" w:w="140"/>
            </w:tcMar>
            <w:vAlign w:val="center"/>
          </w:tcPr>
          <w:p>
            <w:pPr>
              <w:bidi/>
              <w:jc w:val="center"/>
            </w:pPr>
            <w:r>
              <w:rPr>
                <w:rFonts w:ascii="Arial" w:cs="Arial" w:eastAsia="Arial" w:hAnsi="Arial"/>
                <w:b/>
                <w:bCs/>
                <w:color w:val="FFFFFF"/>
                <w:sz w:val="18"/>
                <w:szCs w:val="18"/>
              </w:rPr>
              <w:t xml:space="preserve">اسم الوظيفة (VBA)</w:t>
            </w:r>
          </w:p>
        </w:tc>
        <w:tc>
          <w:tcPr>
            <w:tcW w:type="dxa" w:w="3400"/>
            <w:tcBorders>
              <w:top w:val="single" w:color="0C447C" w:sz="4"/>
              <w:left w:val="single" w:color="0C447C" w:sz="4"/>
              <w:bottom w:val="single" w:color="0C447C" w:sz="4"/>
              <w:right w:val="single" w:color="0C447C" w:sz="4"/>
            </w:tcBorders>
            <w:shd w:fill="1A5276"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الوصف الوظيفي</w:t>
            </w:r>
          </w:p>
        </w:tc>
        <w:tc>
          <w:tcPr>
            <w:tcW w:type="dxa" w:w="1400"/>
            <w:tcBorders>
              <w:top w:val="single" w:color="0C447C" w:sz="4"/>
              <w:left w:val="single" w:color="0C447C" w:sz="4"/>
              <w:bottom w:val="single" w:color="0C447C" w:sz="4"/>
              <w:right w:val="single" w:color="0C447C" w:sz="4"/>
            </w:tcBorders>
            <w:shd w:fill="1A5276"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الصفحة المُستهدَفة</w:t>
            </w:r>
          </w:p>
        </w:tc>
        <w:tc>
          <w:tcPr>
            <w:tcW w:type="dxa" w:w="2100"/>
            <w:tcBorders>
              <w:top w:val="single" w:color="0C447C" w:sz="4"/>
              <w:left w:val="single" w:color="0C447C" w:sz="4"/>
              <w:bottom w:val="single" w:color="0C447C" w:sz="4"/>
              <w:right w:val="single" w:color="0C447C" w:sz="4"/>
            </w:tcBorders>
            <w:shd w:fill="1A5276"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الأثر التشغيلي</w:t>
            </w:r>
          </w:p>
        </w:tc>
      </w:tr>
      <w:tr>
        <w:tc>
          <w:tcPr>
            <w:tcW w:type="dxa" w:w="20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jc w:val="center"/>
            </w:pPr>
            <w:r>
              <w:rPr>
                <w:rFonts w:ascii="Arial" w:cs="Arial" w:eastAsia="Arial" w:hAnsi="Arial"/>
                <w:b/>
                <w:bCs/>
                <w:color w:val="27AE60"/>
                <w:sz w:val="18"/>
                <w:szCs w:val="18"/>
              </w:rPr>
              <w:t xml:space="preserve">Ajouter_Mouvement</w:t>
            </w:r>
          </w:p>
        </w:tc>
        <w:tc>
          <w:tcPr>
            <w:tcW w:type="dxa" w:w="34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تسجيل حركة دخول أو خروج بضغطة زر واحدة مع التحقق من عدم نشوء رصيد سالب</w:t>
            </w:r>
          </w:p>
        </w:tc>
        <w:tc>
          <w:tcPr>
            <w:tcW w:type="dxa" w:w="14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6"/>
                <w:szCs w:val="16"/>
              </w:rPr>
              <w:t xml:space="preserve">MOUVEMENTS</w:t>
            </w:r>
          </w:p>
        </w:tc>
        <w:tc>
          <w:tcPr>
            <w:tcW w:type="dxa" w:w="21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تخفيض وقت التسجيل من 8 دقائق إلى 30 ثانية</w:t>
            </w:r>
          </w:p>
        </w:tc>
      </w:tr>
      <w:tr>
        <w:tc>
          <w:tcPr>
            <w:tcW w:type="dxa" w:w="20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jc w:val="center"/>
            </w:pPr>
            <w:r>
              <w:rPr>
                <w:rFonts w:ascii="Arial" w:cs="Arial" w:eastAsia="Arial" w:hAnsi="Arial"/>
                <w:b/>
                <w:bCs/>
                <w:color w:val="27AE60"/>
                <w:sz w:val="18"/>
                <w:szCs w:val="18"/>
              </w:rPr>
              <w:t xml:space="preserve">Verifier_Seuils</w:t>
            </w:r>
          </w:p>
        </w:tc>
        <w:tc>
          <w:tcPr>
            <w:tcW w:type="dxa" w:w="34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تلوين المواد التي بلغت ROP بالبرتقالي وتلك التي نفدت بالأحمر تلقائياً</w:t>
            </w:r>
          </w:p>
        </w:tc>
        <w:tc>
          <w:tcPr>
            <w:tcW w:type="dxa" w:w="14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6"/>
                <w:szCs w:val="16"/>
              </w:rPr>
              <w:t xml:space="preserve">كل الصفحات</w:t>
            </w:r>
          </w:p>
        </w:tc>
        <w:tc>
          <w:tcPr>
            <w:tcW w:type="dxa" w:w="21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تنبيه بصري فوري — بديل كامل للمراقبة اليدوية</w:t>
            </w:r>
          </w:p>
        </w:tc>
      </w:tr>
      <w:tr>
        <w:tc>
          <w:tcPr>
            <w:tcW w:type="dxa" w:w="20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jc w:val="center"/>
            </w:pPr>
            <w:r>
              <w:rPr>
                <w:rFonts w:ascii="Arial" w:cs="Arial" w:eastAsia="Arial" w:hAnsi="Arial"/>
                <w:b/>
                <w:bCs/>
                <w:color w:val="27AE60"/>
                <w:sz w:val="18"/>
                <w:szCs w:val="18"/>
              </w:rPr>
              <w:t xml:space="preserve">Generer_Rapport</w:t>
            </w:r>
          </w:p>
        </w:tc>
        <w:tc>
          <w:tcPr>
            <w:tcW w:type="dxa" w:w="34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إنشاء ملف PDF يومي/أسبوعي يُلخِّص حالة المخزون لرئاسة الإدارة</w:t>
            </w:r>
          </w:p>
        </w:tc>
        <w:tc>
          <w:tcPr>
            <w:tcW w:type="dxa" w:w="14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6"/>
                <w:szCs w:val="16"/>
              </w:rPr>
              <w:t xml:space="preserve">TABLEAU DE BORD</w:t>
            </w:r>
          </w:p>
        </w:tc>
        <w:tc>
          <w:tcPr>
            <w:tcW w:type="dxa" w:w="21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تقرير رسمي بنقرة واحدة — بدل ساعة من العمل اليدوي</w:t>
            </w:r>
          </w:p>
        </w:tc>
      </w:tr>
    </w:tbl>
    <w:p>
      <w:pPr>
        <w:bidi/>
        <w:spacing w:before="40" w:after="200" w:line="360" w:lineRule="auto"/>
        <w:jc w:val="center"/>
      </w:pPr>
      <w:r>
        <w:rPr>
          <w:rFonts w:ascii="Traditional Arabic" w:cs="Traditional Arabic" w:eastAsia="Traditional Arabic" w:hAnsi="Traditional Arabic"/>
          <w:b w:val="false"/>
          <w:bCs w:val="false"/>
          <w:color w:val="777777"/>
          <w:sz w:val="18"/>
          <w:szCs w:val="18"/>
        </w:rPr>
        <w:t xml:space="preserve">المصدر: إعداد الطالب — كود VBA مُدرَج في الملحق هـ</w:t>
      </w:r>
    </w:p>
    <w:p>
      <w:pPr>
        <w:bidi/>
        <w:spacing w:after="200" w:before="0" w:line="360" w:lineRule="auto"/>
        <w:jc w:val="center"/>
      </w:pP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4.4  الإضافات الجوهرية في الإصدار الخامس (v5-FINAL)</w:t>
      </w:r>
    </w:p>
    <w:p>
      <w:pPr>
        <w:bidi/>
        <w:spacing w:before="200" w:after="120" w:line="360" w:lineRule="auto"/>
        <w:jc w:val="right"/>
      </w:pPr>
      <w:r>
        <w:rPr>
          <w:rFonts w:ascii="Traditional Arabic" w:cs="Traditional Arabic" w:eastAsia="Traditional Arabic" w:hAnsi="Traditional Arabic"/>
          <w:b/>
          <w:bCs/>
          <w:color w:val="1A5276"/>
          <w:sz w:val="26"/>
          <w:szCs w:val="26"/>
        </w:rPr>
        <w:t xml:space="preserve">4.4.1  تصحيح ROP الفردي لكل مادة</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الإشكالية التي رصدها التدقيق: كان الإصدار الرابع يُطبِّق ROP=200 على جميع المواد الثماني، ما أدَّى إلى إطلاق 6 تنبيهات خاطئة من أصل 7. في الإصدار الخامس، يُحسَب ROP لكل مادة على حدة:</w:t>
      </w:r>
    </w:p>
    <w:p>
      <w:pPr>
        <w:bidi/>
        <w:spacing w:before="100" w:after="120" w:line="360" w:lineRule="auto"/>
        <w:jc w:val="center"/>
      </w:pPr>
      <w:r>
        <w:rPr>
          <w:rFonts w:ascii="Traditional Arabic" w:cs="Traditional Arabic" w:eastAsia="Traditional Arabic" w:hAnsi="Traditional Arabic"/>
          <w:b/>
          <w:bCs/>
          <w:color w:val="1A5276"/>
          <w:sz w:val="22"/>
          <w:szCs w:val="22"/>
        </w:rPr>
        <w:t xml:space="preserve">ROP = حد أدنى المادة + (إجمالي مخارجها / 38 يوم رصد) × 2 يوم تسليم</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النتيجة: نظام التنبيه انتقل من 6 إنذارات كاذبة إلى صفر — وتنبيه واحد حقيقي فعلي (ART-003).</w:t>
      </w:r>
    </w:p>
    <w:p>
      <w:pPr>
        <w:bidi/>
        <w:spacing w:before="200" w:after="120" w:line="360" w:lineRule="auto"/>
        <w:jc w:val="right"/>
      </w:pPr>
      <w:r>
        <w:rPr>
          <w:rFonts w:ascii="Traditional Arabic" w:cs="Traditional Arabic" w:eastAsia="Traditional Arabic" w:hAnsi="Traditional Arabic"/>
          <w:b/>
          <w:bCs/>
          <w:color w:val="1A5276"/>
          <w:sz w:val="26"/>
          <w:szCs w:val="26"/>
        </w:rPr>
        <w:t xml:space="preserve">4.4.2  الطلب السنوي D المُحسَب تلقائياً</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بدلاً من D=10,000 كقيمة ثابتة تقديرية، يحتسب النظام القيمة تلقائياً انطلاقاً من إجمالي المخارج الفعلية المُسجَّلة:</w:t>
      </w:r>
    </w:p>
    <w:p>
      <w:pPr>
        <w:bidi/>
        <w:spacing w:before="100" w:after="120" w:line="360" w:lineRule="auto"/>
        <w:jc w:val="center"/>
      </w:pPr>
      <w:r>
        <w:rPr>
          <w:rFonts w:ascii="Traditional Arabic" w:cs="Traditional Arabic" w:eastAsia="Traditional Arabic" w:hAnsi="Traditional Arabic"/>
          <w:b/>
          <w:bCs/>
          <w:color w:val="1A5276"/>
          <w:sz w:val="22"/>
          <w:szCs w:val="22"/>
        </w:rPr>
        <w:t xml:space="preserve">D = (إجمالي مخارج ART-001 ÷ 38 يوم) × 250 يوم ≈ 1 546 رزمة/سنة</w:t>
      </w:r>
    </w:p>
    <w:p>
      <w:pPr>
        <w:bidi/>
        <w:spacing w:before="200" w:after="120" w:line="360" w:lineRule="auto"/>
        <w:jc w:val="right"/>
      </w:pPr>
      <w:r>
        <w:rPr>
          <w:rFonts w:ascii="Traditional Arabic" w:cs="Traditional Arabic" w:eastAsia="Traditional Arabic" w:hAnsi="Traditional Arabic"/>
          <w:b/>
          <w:bCs/>
          <w:color w:val="1A5276"/>
          <w:sz w:val="26"/>
          <w:szCs w:val="26"/>
        </w:rPr>
        <w:t xml:space="preserve">4.4.3  CMUP الديناميكي — أعمدة J، K، L في MOUVEMENTS</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أضاف الإصدار الخامس ثلاثة أعمدة مساعدة تُحقِّق منهجية المتوسط المرجَّح الكاملة بصورة تلقائية. كل مرة تدخل دفعة جديدة بسعر مختلف، يُعيد العمود L احتساب المتوسط المرجَّح فوراً دون أي تعديل يدوي.</w:t>
      </w: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4.5  مقارنة مؤشرات الأداء قبل/بعد التطبيق</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تُعرض في الجدول أدناه مقارنة كمية بين المؤشرات التشغيلية قبل التطبيق وبعده:</w:t>
      </w:r>
    </w:p>
    <w:p>
      <w:pPr>
        <w:bidi/>
        <w:spacing w:after="80" w:before="0" w:line="360" w:lineRule="auto"/>
        <w:jc w:val="center"/>
      </w:pPr>
    </w:p>
    <w:p>
      <w:pPr>
        <w:bidi/>
        <w:spacing w:before="60" w:after="120" w:line="360" w:lineRule="auto"/>
        <w:jc w:val="center"/>
      </w:pPr>
      <w:r>
        <w:rPr>
          <w:rFonts w:ascii="Traditional Arabic" w:cs="Traditional Arabic" w:eastAsia="Traditional Arabic" w:hAnsi="Traditional Arabic"/>
          <w:b/>
          <w:bCs/>
          <w:color w:val="0C447C"/>
          <w:sz w:val="22"/>
          <w:szCs w:val="22"/>
        </w:rPr>
        <w:t xml:space="preserve">الجدول رقم (10) — </w:t>
      </w:r>
      <w:r>
        <w:rPr>
          <w:rFonts w:ascii="Traditional Arabic" w:cs="Traditional Arabic" w:eastAsia="Traditional Arabic" w:hAnsi="Traditional Arabic"/>
          <w:b w:val="false"/>
          <w:bCs w:val="false"/>
          <w:color w:val="333333"/>
          <w:sz w:val="22"/>
          <w:szCs w:val="22"/>
        </w:rPr>
        <w:t xml:space="preserve">مقارنة مؤشرات الأداء اللوجستي قبل وبعد تطبيق نظام Mini ERP</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100"/>
      </w:tblGrid>
      <w:tr>
        <w:trPr>
          <w:tblHeader/>
        </w:trPr>
        <w:tc>
          <w:tcPr>
            <w:tcW w:type="dxa" w:w="22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مؤشر الأداء (KPI)</w:t>
            </w:r>
          </w:p>
        </w:tc>
        <w:tc>
          <w:tcPr>
            <w:tcW w:type="dxa" w:w="23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قبل التطبيق — يدوي</w:t>
            </w:r>
          </w:p>
        </w:tc>
        <w:tc>
          <w:tcPr>
            <w:tcW w:type="dxa" w:w="2300"/>
            <w:tcBorders>
              <w:top w:val="single" w:color="0C447C" w:sz="4"/>
              <w:left w:val="single" w:color="0C447C" w:sz="4"/>
              <w:bottom w:val="single" w:color="0C447C" w:sz="4"/>
              <w:right w:val="single" w:color="0C447C" w:sz="4"/>
            </w:tcBorders>
            <w:shd w:fill="27AE60"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بعد التطبيق — Mini ERP</w:t>
            </w:r>
          </w:p>
        </w:tc>
        <w:tc>
          <w:tcPr>
            <w:tcW w:type="dxa" w:w="21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نسبة التحسُّن</w:t>
            </w:r>
          </w:p>
        </w:tc>
      </w:tr>
      <w:tr>
        <w:tc>
          <w:tcPr>
            <w:tcW w:type="dxa" w:w="22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وقت تسجيل حركة واحدة</w:t>
            </w:r>
          </w:p>
        </w:tc>
        <w:tc>
          <w:tcPr>
            <w:tcW w:type="dxa" w:w="23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8 – 10 دقائق (ورقي ثم Excel)</w:t>
            </w:r>
          </w:p>
        </w:tc>
        <w:tc>
          <w:tcPr>
            <w:tcW w:type="dxa" w:w="23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&lt; 30 ثانية (زر واحد — VBA)</w:t>
            </w:r>
          </w:p>
        </w:tc>
        <w:tc>
          <w:tcPr>
            <w:tcW w:type="dxa" w:w="21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تخفيض 97%</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التنبيه بنقطة إعادة الطلب</w:t>
            </w:r>
          </w:p>
        </w:tc>
        <w:tc>
          <w:tcPr>
            <w:tcW w:type="dxa" w:w="23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غائب — اكتشاف بالعين المجردة</w:t>
            </w:r>
          </w:p>
        </w:tc>
        <w:tc>
          <w:tcPr>
            <w:tcW w:type="dxa" w:w="23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تلقائي — تلوين فوري عند الوصول لـ ROP</w:t>
            </w:r>
          </w:p>
        </w:tc>
        <w:tc>
          <w:tcPr>
            <w:tcW w:type="dxa" w:w="21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من صفر إلى 100%</w:t>
            </w:r>
          </w:p>
        </w:tc>
      </w:tr>
      <w:tr>
        <w:tc>
          <w:tcPr>
            <w:tcW w:type="dxa" w:w="22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مدة إجراء الجرد الفصلي</w:t>
            </w:r>
          </w:p>
        </w:tc>
        <w:tc>
          <w:tcPr>
            <w:tcW w:type="dxa" w:w="23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7 – 8 ساعات (مطابقة يدوية)</w:t>
            </w:r>
          </w:p>
        </w:tc>
        <w:tc>
          <w:tcPr>
            <w:tcW w:type="dxa" w:w="23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&lt; 3 ساعات (مقارنة آلية في Excel)</w:t>
            </w:r>
          </w:p>
        </w:tc>
        <w:tc>
          <w:tcPr>
            <w:tcW w:type="dxa" w:w="21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تخفيض 60%</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دقة الرصيد</w:t>
            </w:r>
          </w:p>
        </w:tc>
        <w:tc>
          <w:tcPr>
            <w:tcW w:type="dxa" w:w="23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خطأ في 12–15% من العمليات</w:t>
            </w:r>
          </w:p>
        </w:tc>
        <w:tc>
          <w:tcPr>
            <w:tcW w:type="dxa" w:w="23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التحقق الآلي يمنع الرصيد السالب</w:t>
            </w:r>
          </w:p>
        </w:tc>
        <w:tc>
          <w:tcPr>
            <w:tcW w:type="dxa" w:w="21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تخفيض الأخطاء &gt; 90%</w:t>
            </w:r>
          </w:p>
        </w:tc>
      </w:tr>
      <w:tr>
        <w:tc>
          <w:tcPr>
            <w:tcW w:type="dxa" w:w="22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التقارير للإدارة</w:t>
            </w:r>
          </w:p>
        </w:tc>
        <w:tc>
          <w:tcPr>
            <w:tcW w:type="dxa" w:w="23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يدوية — تستغرق ساعة+</w:t>
            </w:r>
          </w:p>
        </w:tc>
        <w:tc>
          <w:tcPr>
            <w:tcW w:type="dxa" w:w="23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PDF تلقائي بنقرة واحدة</w:t>
            </w:r>
          </w:p>
        </w:tc>
        <w:tc>
          <w:tcPr>
            <w:tcW w:type="dxa" w:w="21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تخفيض 98%</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تكلفة التطبيق</w:t>
            </w:r>
          </w:p>
        </w:tc>
        <w:tc>
          <w:tcPr>
            <w:tcW w:type="dxa" w:w="23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w:t>
            </w:r>
          </w:p>
        </w:tc>
        <w:tc>
          <w:tcPr>
            <w:tcW w:type="dxa" w:w="23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صفر دج (Office موجود مسبقاً)</w:t>
            </w:r>
          </w:p>
        </w:tc>
        <w:tc>
          <w:tcPr>
            <w:tcW w:type="dxa" w:w="21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بدون ميزانية إضافية</w:t>
            </w:r>
          </w:p>
        </w:tc>
      </w:tr>
    </w:tbl>
    <w:p>
      <w:pPr>
        <w:bidi/>
        <w:spacing w:before="40" w:after="200" w:line="360" w:lineRule="auto"/>
        <w:jc w:val="center"/>
      </w:pPr>
      <w:r>
        <w:rPr>
          <w:rFonts w:ascii="Traditional Arabic" w:cs="Traditional Arabic" w:eastAsia="Traditional Arabic" w:hAnsi="Traditional Arabic"/>
          <w:b w:val="false"/>
          <w:bCs w:val="false"/>
          <w:color w:val="777777"/>
          <w:sz w:val="18"/>
          <w:szCs w:val="18"/>
        </w:rPr>
        <w:t xml:space="preserve">المصدر: إعداد الطالب — ملاحظة ميدانية مباشرة + بيانات ERP_Academie_v5_final | فيفري–مارس 2026</w:t>
      </w:r>
    </w:p>
    <w:p>
      <w:pPr>
        <w:bidi/>
        <w:spacing w:after="200" w:before="0" w:line="360" w:lineRule="auto"/>
        <w:jc w:val="center"/>
      </w:pP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4.6  التحقق من صحة فرضيتَي البحث</w:t>
      </w:r>
    </w:p>
    <w:p>
      <w:pPr>
        <w:bidi/>
        <w:spacing w:after="80" w:before="0" w:line="360" w:lineRule="auto"/>
        <w:jc w:val="center"/>
      </w:pPr>
    </w:p>
    <w:p>
      <w:pPr>
        <w:bidi/>
        <w:spacing w:before="60" w:after="120" w:line="360" w:lineRule="auto"/>
        <w:jc w:val="center"/>
      </w:pPr>
      <w:r>
        <w:rPr>
          <w:rFonts w:ascii="Traditional Arabic" w:cs="Traditional Arabic" w:eastAsia="Traditional Arabic" w:hAnsi="Traditional Arabic"/>
          <w:b/>
          <w:bCs/>
          <w:color w:val="0C447C"/>
          <w:sz w:val="22"/>
          <w:szCs w:val="22"/>
        </w:rPr>
        <w:t xml:space="preserve">الجدول رقم (11) — </w:t>
      </w:r>
      <w:r>
        <w:rPr>
          <w:rFonts w:ascii="Traditional Arabic" w:cs="Traditional Arabic" w:eastAsia="Traditional Arabic" w:hAnsi="Traditional Arabic"/>
          <w:b w:val="false"/>
          <w:bCs w:val="false"/>
          <w:color w:val="333333"/>
          <w:sz w:val="22"/>
          <w:szCs w:val="22"/>
        </w:rPr>
        <w:t xml:space="preserve">نتائج التحقق من فرضيتَي البحث — الدليل الميداني</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200"/>
        <w:gridCol w:w="1700"/>
      </w:tblGrid>
      <w:tr>
        <w:trPr>
          <w:tblHeader/>
        </w:trPr>
        <w:tc>
          <w:tcPr>
            <w:tcW w:type="dxa" w:w="15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الفرضية</w:t>
            </w:r>
          </w:p>
        </w:tc>
        <w:tc>
          <w:tcPr>
            <w:tcW w:type="dxa" w:w="25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الصياغة</w:t>
            </w:r>
          </w:p>
        </w:tc>
        <w:tc>
          <w:tcPr>
            <w:tcW w:type="dxa" w:w="32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الدليل الميداني</w:t>
            </w:r>
          </w:p>
        </w:tc>
        <w:tc>
          <w:tcPr>
            <w:tcW w:type="dxa" w:w="17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النتيجة</w:t>
            </w:r>
          </w:p>
        </w:tc>
      </w:tr>
      <w:tr>
        <w:tc>
          <w:tcPr>
            <w:tcW w:type="dxa" w:w="15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الفرضية الأولى</w:t>
            </w:r>
          </w:p>
        </w:tc>
        <w:tc>
          <w:tcPr>
            <w:tcW w:type="dxa" w:w="25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غياب آليات التنبيه الآلي هو السبب الجذري لنفاد المخزون</w:t>
            </w:r>
          </w:p>
        </w:tc>
        <w:tc>
          <w:tcPr>
            <w:tcW w:type="dxa" w:w="32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نفاد خرطوشة Canon (ART-003) في فيفري 2026 — بعد التطبيق: تنبيه مُسبَق بأسبوع عبر '&gt;&gt; COMMANDER'</w:t>
            </w:r>
          </w:p>
        </w:tc>
        <w:tc>
          <w:tcPr>
            <w:tcW w:type="dxa" w:w="1700"/>
            <w:tcBorders>
              <w:top w:val="single" w:color="27AE60" w:sz="4"/>
              <w:left w:val="single" w:color="27AE60" w:sz="4"/>
              <w:bottom w:val="single" w:color="27AE60" w:sz="4"/>
              <w:right w:val="single" w:color="27AE60" w:sz="4"/>
            </w:tcBorders>
            <w:shd w:fill="D5F5E3"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27AE60"/>
                <w:sz w:val="22"/>
                <w:szCs w:val="22"/>
              </w:rPr>
              <w:t xml:space="preserve">✓ مُثبَتة</w:t>
            </w:r>
          </w:p>
        </w:tc>
      </w:tr>
      <w:tr>
        <w:tc>
          <w:tcPr>
            <w:tcW w:type="dxa" w:w="15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الفرضية الثانية</w:t>
            </w:r>
          </w:p>
        </w:tc>
        <w:tc>
          <w:tcPr>
            <w:tcW w:type="dxa" w:w="25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نظام Mini ERP يُحسِّن الدقة ويُقلِّص وقت معالجة الطلبيات</w:t>
            </w:r>
          </w:p>
        </w:tc>
        <w:tc>
          <w:tcPr>
            <w:tcW w:type="dxa" w:w="32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تخفيض وقت التسجيل 97%، تقليص مدة الجرد 60%، إلغاء 6 تنبيهات خاطئة من 7 بعد تصحيح ROP الفردي</w:t>
            </w:r>
          </w:p>
        </w:tc>
        <w:tc>
          <w:tcPr>
            <w:tcW w:type="dxa" w:w="1700"/>
            <w:tcBorders>
              <w:top w:val="single" w:color="27AE60" w:sz="4"/>
              <w:left w:val="single" w:color="27AE60" w:sz="4"/>
              <w:bottom w:val="single" w:color="27AE60" w:sz="4"/>
              <w:right w:val="single" w:color="27AE60" w:sz="4"/>
            </w:tcBorders>
            <w:shd w:fill="D5F5E3"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27AE60"/>
                <w:sz w:val="22"/>
                <w:szCs w:val="22"/>
              </w:rPr>
              <w:t xml:space="preserve">✓ مُثبَتة</w:t>
            </w:r>
          </w:p>
        </w:tc>
      </w:tr>
    </w:tbl>
    <w:p>
      <w:pPr>
        <w:bidi/>
        <w:spacing w:before="40" w:after="200" w:line="360" w:lineRule="auto"/>
        <w:jc w:val="center"/>
      </w:pPr>
      <w:r>
        <w:rPr>
          <w:rFonts w:ascii="Traditional Arabic" w:cs="Traditional Arabic" w:eastAsia="Traditional Arabic" w:hAnsi="Traditional Arabic"/>
          <w:b w:val="false"/>
          <w:bCs w:val="false"/>
          <w:color w:val="777777"/>
          <w:sz w:val="18"/>
          <w:szCs w:val="18"/>
        </w:rPr>
        <w:t xml:space="preserve">المصدر: إعداد الطالب — تحليل بيانات ERP_Academie_v5_final | مارس 2026</w:t>
      </w:r>
    </w:p>
    <w:p>
      <w:pPr>
        <w:bidi/>
        <w:spacing w:after="200" w:before="0" w:line="360" w:lineRule="auto"/>
        <w:jc w:val="center"/>
      </w:pP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4.7  التوصيات المقدَّمة لمصلحة المخازن والإدارة</w:t>
      </w:r>
    </w:p>
    <w:p>
      <w:pPr>
        <w:bidi/>
        <w:spacing w:after="80" w:before="0" w:line="360" w:lineRule="auto"/>
        <w:jc w:val="center"/>
      </w:pPr>
    </w:p>
    <w:p>
      <w:pPr>
        <w:bidi/>
        <w:spacing w:before="60" w:after="120" w:line="360" w:lineRule="auto"/>
        <w:jc w:val="center"/>
      </w:pPr>
      <w:r>
        <w:rPr>
          <w:rFonts w:ascii="Traditional Arabic" w:cs="Traditional Arabic" w:eastAsia="Traditional Arabic" w:hAnsi="Traditional Arabic"/>
          <w:b/>
          <w:bCs/>
          <w:color w:val="0C447C"/>
          <w:sz w:val="22"/>
          <w:szCs w:val="22"/>
        </w:rPr>
        <w:t xml:space="preserve">الجدول رقم (12) — </w:t>
      </w:r>
      <w:r>
        <w:rPr>
          <w:rFonts w:ascii="Traditional Arabic" w:cs="Traditional Arabic" w:eastAsia="Traditional Arabic" w:hAnsi="Traditional Arabic"/>
          <w:b w:val="false"/>
          <w:bCs w:val="false"/>
          <w:color w:val="333333"/>
          <w:sz w:val="22"/>
          <w:szCs w:val="22"/>
        </w:rPr>
        <w:t xml:space="preserve">التوصيات المقدَّمة لمديرية التربية لولاية البيض</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0"/>
        <w:gridCol w:w="1800"/>
        <w:gridCol w:w="2100"/>
      </w:tblGrid>
      <w:tr>
        <w:trPr>
          <w:tblHeader/>
        </w:trPr>
        <w:tc>
          <w:tcPr>
            <w:tcW w:type="dxa" w:w="5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w:t>
            </w:r>
          </w:p>
        </w:tc>
        <w:tc>
          <w:tcPr>
            <w:tcW w:type="dxa" w:w="25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التوصية</w:t>
            </w:r>
          </w:p>
        </w:tc>
        <w:tc>
          <w:tcPr>
            <w:tcW w:type="dxa" w:w="20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الجهة المعنية</w:t>
            </w:r>
          </w:p>
        </w:tc>
        <w:tc>
          <w:tcPr>
            <w:tcW w:type="dxa" w:w="18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الأفق الزمني</w:t>
            </w:r>
          </w:p>
        </w:tc>
        <w:tc>
          <w:tcPr>
            <w:tcW w:type="dxa" w:w="21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0"/>
                <w:szCs w:val="20"/>
              </w:rPr>
              <w:t xml:space="preserve">ملاحظات التنفيذ</w:t>
            </w:r>
          </w:p>
        </w:tc>
      </w:tr>
      <w:tr>
        <w:tc>
          <w:tcPr>
            <w:tcW w:type="dxa" w:w="5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01</w:t>
            </w:r>
          </w:p>
        </w:tc>
        <w:tc>
          <w:tcPr>
            <w:tcW w:type="dxa" w:w="25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اعتماد ERP_Academie_v5 رسمياً كأداة تسيير المخزون</w:t>
            </w:r>
          </w:p>
        </w:tc>
        <w:tc>
          <w:tcPr>
            <w:tcW w:type="dxa" w:w="20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مصلحة المخازن + المدير</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فوري (عند الموافقة)</w:t>
            </w:r>
          </w:p>
        </w:tc>
        <w:tc>
          <w:tcPr>
            <w:tcW w:type="dxa" w:w="21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يومان تدريب كافيان</w:t>
            </w:r>
          </w:p>
        </w:tc>
      </w:tr>
      <w:tr>
        <w:tc>
          <w:tcPr>
            <w:tcW w:type="dxa" w:w="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02</w:t>
            </w:r>
          </w:p>
        </w:tc>
        <w:tc>
          <w:tcPr>
            <w:tcW w:type="dxa" w:w="2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مراجعة معاملات ويلسون سنوياً وتحديثها</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مسؤول المخزن</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نهاية كل سنة دراسية</w:t>
            </w:r>
          </w:p>
        </w:tc>
        <w:tc>
          <w:tcPr>
            <w:tcW w:type="dxa" w:w="21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تحديث D من سجل الحركات الفعلي</w:t>
            </w:r>
          </w:p>
        </w:tc>
      </w:tr>
      <w:tr>
        <w:tc>
          <w:tcPr>
            <w:tcW w:type="dxa" w:w="5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03</w:t>
            </w:r>
          </w:p>
        </w:tc>
        <w:tc>
          <w:tcPr>
            <w:tcW w:type="dxa" w:w="25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إنشاء قاعدة بيانات موردين موثَّقة</w:t>
            </w:r>
          </w:p>
        </w:tc>
        <w:tc>
          <w:tcPr>
            <w:tcW w:type="dxa" w:w="20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مصلحة المخازن</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خلال 3 أشهر</w:t>
            </w:r>
          </w:p>
        </w:tc>
        <w:tc>
          <w:tcPr>
            <w:tcW w:type="dxa" w:w="21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تقييم نصف سنوي بنظام التنقيط المُدرَج في ERP</w:t>
            </w:r>
          </w:p>
        </w:tc>
      </w:tr>
      <w:tr>
        <w:tc>
          <w:tcPr>
            <w:tcW w:type="dxa" w:w="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0"/>
                <w:szCs w:val="20"/>
              </w:rPr>
              <w:t xml:space="preserve">04</w:t>
            </w:r>
          </w:p>
        </w:tc>
        <w:tc>
          <w:tcPr>
            <w:tcW w:type="dxa" w:w="2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0"/>
                <w:szCs w:val="20"/>
              </w:rPr>
              <w:t xml:space="preserve">الانتقال نحو Access أو Odoo Community</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الإدارة العامة</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0"/>
                <w:szCs w:val="20"/>
              </w:rPr>
              <w:t xml:space="preserve">المدى البعيد (3–5 سنوات)</w:t>
            </w:r>
          </w:p>
        </w:tc>
        <w:tc>
          <w:tcPr>
            <w:tcW w:type="dxa" w:w="21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0"/>
                <w:szCs w:val="20"/>
              </w:rPr>
              <w:t xml:space="preserve">استيعاب النمو وتوسيع النطاق للولايات المجاورة</w:t>
            </w:r>
          </w:p>
        </w:tc>
      </w:tr>
    </w:tbl>
    <w:p>
      <w:pPr>
        <w:bidi/>
        <w:spacing w:before="40" w:after="200" w:line="360" w:lineRule="auto"/>
        <w:jc w:val="center"/>
      </w:pPr>
      <w:r>
        <w:rPr>
          <w:rFonts w:ascii="Traditional Arabic" w:cs="Traditional Arabic" w:eastAsia="Traditional Arabic" w:hAnsi="Traditional Arabic"/>
          <w:b w:val="false"/>
          <w:bCs w:val="false"/>
          <w:color w:val="777777"/>
          <w:sz w:val="18"/>
          <w:szCs w:val="18"/>
        </w:rPr>
        <w:t xml:space="preserve">المصدر: إعداد الطالب — مبنيٌّ على نتائج التطبيق الميداني | مارس 2026</w:t>
      </w:r>
    </w:p>
    <w:p>
      <w:pPr>
        <w:bidi/>
        <w:spacing w:after="200" w:before="0" w:line="360" w:lineRule="auto"/>
        <w:jc w:val="center"/>
      </w:pP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خلاصة الفصل الرابع: يُثبت هذا الفصل أن بناء نظام Mini ERP وظيفي بأدوات Microsoft Office المتاحة أصلاً ليس فقط ممكناً، بل فعَّال وقابل للتطبيق الفوري. الأثر الأبرز كان في تحويل نظام المراقبة من ردّ الفعل إلى الاستباقية — وهو جوهر الإدارة الحديثة للمخزون.</w:t>
      </w:r>
    </w:p>
    <w:p>
      <w:r>
        <w:br w:type="page"/>
      </w:r>
    </w:p>
    <w:p>
      <w:pPr>
        <w:bidi/>
        <w:spacing w:before="0" w:after="220" w:line="360" w:lineRule="auto"/>
        <w:jc w:val="right"/>
      </w:pPr>
      <w:r>
        <w:rPr>
          <w:rFonts w:ascii="Traditional Arabic" w:cs="Traditional Arabic" w:eastAsia="Traditional Arabic" w:hAnsi="Traditional Arabic"/>
          <w:b/>
          <w:bCs/>
          <w:color w:val="1B2631"/>
          <w:sz w:val="32"/>
          <w:szCs w:val="32"/>
        </w:rPr>
        <w:t xml:space="preserve">الخاتمة العامة</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أجابت هذه الدراسة عن التساؤل المحوري: كيف يمكن أتمتة دورة الشراء والتخزين وتعزيز الجرد الدائم في مخزن مؤسسة عمومية باستخدام أدوات Microsoft Office المتاحة؟ والجواب: إنه ممكن، فعَّال، وقابل للتطبيق الفوري بتكلفة صفرية.</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انطلقت الدراسة من تشخيص ميداني دقيق لمخزن مديرية التربية لولاية البيض، ورصدت خمس نقاط ضعف هيكلية تتمحور جميعها حول غياب الأتمتة. طُبِّقت على البيانات الفعلية ثلاثة أدوات كمية: تحليل ABC، نموذج ويلسون، والمتوسط المرجَّح (CMUP) — وأنتجت جميعها معطيات تشغيلية مباشرة موثَّقة في الجداول من 04 إلى 12.</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أما الحل المقترح، فهو نظام ERP_Academie_v5_final المبني بـ Excel/VBA في تسع صفحات وظيفية، مُضمِّناً ثلاثة إبداعات رئيسية: ROP فردي لكل مادة يُلغي التنبيهات الكاذبة، وطلب سنوي D مُحسَب تلقائياً، وCMUP ديناميكي يستوعب تقلُّبات الأسعار.</w:t>
      </w:r>
    </w:p>
    <w:p>
      <w:pPr>
        <w:bidi/>
        <w:spacing w:before="140" w:after="80" w:line="360" w:lineRule="auto"/>
        <w:jc w:val="right"/>
      </w:pPr>
      <w:r>
        <w:rPr>
          <w:rFonts w:ascii="Traditional Arabic" w:cs="Traditional Arabic" w:eastAsia="Traditional Arabic" w:hAnsi="Traditional Arabic"/>
          <w:b/>
          <w:bCs/>
          <w:color w:val="0C447C"/>
          <w:sz w:val="22"/>
          <w:szCs w:val="22"/>
        </w:rPr>
        <w:t xml:space="preserve">وبهذا تُثبَت الفرضيتان:</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 الفرضية الأولى مُثبَتة: غياب آليات التنبيه الآلي هو السبب الجذري لتكرار نفاد المواد الاستراتيجية.</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 الفرضية الثانية مُثبَتة: نظام Mini ERP المقترح يُحسِّن دقة التتبع ويُقلِّص وقت معالجة الطلبيات بصورة ملموسة وقابلة للقياس.</w:t>
      </w:r>
    </w:p>
    <w:p>
      <w:pPr>
        <w:bidi/>
        <w:spacing w:after="200" w:before="0" w:line="360" w:lineRule="auto"/>
        <w:jc w:val="center"/>
      </w:pP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تبقى هذه الدراسة حلقةً في مسيرة التحوُّل الرقمي للإدارة الجزائرية.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w:t>
      </w:r>
    </w:p>
    <w:p>
      <w:r>
        <w:br w:type="page"/>
      </w:r>
    </w:p>
    <w:p>
      <w:pPr>
        <w:bidi/>
        <w:spacing w:before="0" w:after="220" w:line="360" w:lineRule="auto"/>
        <w:jc w:val="right"/>
      </w:pPr>
      <w:r>
        <w:rPr>
          <w:rFonts w:ascii="Traditional Arabic" w:cs="Traditional Arabic" w:eastAsia="Traditional Arabic" w:hAnsi="Traditional Arabic"/>
          <w:b/>
          <w:bCs/>
          <w:color w:val="1B2631"/>
          <w:sz w:val="32"/>
          <w:szCs w:val="32"/>
        </w:rPr>
        <w:t xml:space="preserve">قائمة المراجع والمصادر</w:t>
      </w:r>
    </w:p>
    <w:p>
      <w:pPr>
        <w:bidi/>
        <w:spacing w:before="120" w:after="100" w:line="360" w:lineRule="auto"/>
        <w:jc w:val="right"/>
      </w:pPr>
      <w:r>
        <w:rPr>
          <w:rFonts w:ascii="Traditional Arabic" w:cs="Traditional Arabic" w:eastAsia="Traditional Arabic" w:hAnsi="Traditional Arabic"/>
          <w:b/>
          <w:bCs/>
          <w:color w:val="0C447C"/>
          <w:sz w:val="24"/>
          <w:szCs w:val="24"/>
        </w:rPr>
        <w:t xml:space="preserve">أولاً: المراجع الوطنية</w:t>
      </w:r>
    </w:p>
    <w:p>
      <w:pPr>
        <w:bidi/>
        <w:spacing w:after="80" w:line="360" w:lineRule="auto"/>
        <w:jc w:val="right"/>
      </w:pPr>
      <w:r>
        <w:rPr>
          <w:rFonts w:ascii="Traditional Arabic" w:cs="Traditional Arabic" w:eastAsia="Traditional Arabic" w:hAnsi="Traditional Arabic"/>
          <w:b w:val="false"/>
          <w:bCs w:val="false"/>
          <w:color w:val="000000"/>
          <w:sz w:val="21"/>
          <w:szCs w:val="21"/>
        </w:rPr>
        <w:t xml:space="preserve">[01] وزارة التكوين والتعليم المهنيين الجزائرية. برنامج التكوين المهني: تسيير المخزونات واللوجستيك، الرمز TAG1801، محاور السداسيات I–IV. الجزائر: CNEPD، 2024.</w:t>
      </w:r>
    </w:p>
    <w:p>
      <w:pPr>
        <w:bidi/>
        <w:spacing w:after="80" w:line="360" w:lineRule="auto"/>
        <w:jc w:val="right"/>
      </w:pPr>
      <w:r>
        <w:rPr>
          <w:rFonts w:ascii="Traditional Arabic" w:cs="Traditional Arabic" w:eastAsia="Traditional Arabic" w:hAnsi="Traditional Arabic"/>
          <w:b w:val="false"/>
          <w:bCs w:val="false"/>
          <w:color w:val="000000"/>
          <w:sz w:val="21"/>
          <w:szCs w:val="21"/>
        </w:rPr>
        <w:t xml:space="preserve">[02] وثائق مصلحة المخازن الداخلية: بطاقات المخزون، وصولات الاستلام والإخراج، سجلات الجرد 2024–2025. مديرية التربية لولاية البيض.</w:t>
      </w:r>
    </w:p>
    <w:p>
      <w:pPr>
        <w:bidi/>
        <w:spacing w:after="80" w:line="360" w:lineRule="auto"/>
        <w:jc w:val="right"/>
      </w:pPr>
      <w:r>
        <w:rPr>
          <w:rFonts w:ascii="Traditional Arabic" w:cs="Traditional Arabic" w:eastAsia="Traditional Arabic" w:hAnsi="Traditional Arabic"/>
          <w:b w:val="false"/>
          <w:bCs w:val="false"/>
          <w:color w:val="000000"/>
          <w:sz w:val="21"/>
          <w:szCs w:val="21"/>
        </w:rPr>
        <w:t xml:space="preserve">[03] الإجراءات والتعليمات الوزارية المنظِّمة لتسيير المخازن في المؤسسات العمومية الجزائرية. وزارة المالية، مديرية المحاسبة العمومية، 2020.</w:t>
      </w:r>
    </w:p>
    <w:p>
      <w:pPr>
        <w:bidi/>
        <w:spacing w:before="160" w:after="100" w:line="360" w:lineRule="auto"/>
        <w:jc w:val="right"/>
      </w:pPr>
      <w:r>
        <w:rPr>
          <w:rFonts w:ascii="Traditional Arabic" w:cs="Traditional Arabic" w:eastAsia="Traditional Arabic" w:hAnsi="Traditional Arabic"/>
          <w:b/>
          <w:bCs/>
          <w:color w:val="0C447C"/>
          <w:sz w:val="24"/>
          <w:szCs w:val="24"/>
        </w:rPr>
        <w:t xml:space="preserve">ثانياً: المراجع الأجنبية</w:t>
      </w:r>
    </w:p>
    <w:p>
      <w:pPr>
        <w:spacing w:after="80" w:line="340" w:lineRule="auto"/>
        <w:jc w:val="left"/>
      </w:pPr>
      <w:r>
        <w:rPr>
          <w:rFonts w:ascii="Arial" w:cs="Arial" w:eastAsia="Arial" w:hAnsi="Arial"/>
          <w:b w:val="false"/>
          <w:bCs w:val="false"/>
          <w:color w:val="333333"/>
          <w:sz w:val="20"/>
          <w:szCs w:val="20"/>
        </w:rPr>
        <w:t xml:space="preserve">[04] Richards, G. &amp; Grinsted, S. (2024). The Logistics and Supply Chain Toolkit (4th ed.). London: Kogan Page.</w:t>
      </w:r>
    </w:p>
    <w:p>
      <w:pPr>
        <w:spacing w:after="80" w:line="340" w:lineRule="auto"/>
        <w:jc w:val="left"/>
      </w:pPr>
      <w:r>
        <w:rPr>
          <w:rFonts w:ascii="Arial" w:cs="Arial" w:eastAsia="Arial" w:hAnsi="Arial"/>
          <w:b w:val="false"/>
          <w:bCs w:val="false"/>
          <w:color w:val="333333"/>
          <w:sz w:val="20"/>
          <w:szCs w:val="20"/>
        </w:rPr>
        <w:t xml:space="preserve">[05] Wahome, J.G. (2013). Inventory Management Practices and their effects on Organizational Performance. International Journal of Business and Management, 8(20).</w:t>
      </w:r>
    </w:p>
    <w:p>
      <w:pPr>
        <w:spacing w:after="80" w:line="340" w:lineRule="auto"/>
        <w:jc w:val="left"/>
      </w:pPr>
      <w:r>
        <w:rPr>
          <w:rFonts w:ascii="Arial" w:cs="Arial" w:eastAsia="Arial" w:hAnsi="Arial"/>
          <w:b w:val="false"/>
          <w:bCs w:val="false"/>
          <w:color w:val="333333"/>
          <w:sz w:val="20"/>
          <w:szCs w:val="20"/>
        </w:rPr>
        <w:t xml:space="preserve">[06] Faber, N., De Koster, R., &amp; Smidts, A. (2015). Organizing warehouse management. International Journal of Operations &amp; Production Management, 33(9), 1230–1256.</w:t>
      </w:r>
    </w:p>
    <w:p>
      <w:pPr>
        <w:spacing w:after="80" w:line="340" w:lineRule="auto"/>
        <w:jc w:val="left"/>
      </w:pPr>
      <w:r>
        <w:rPr>
          <w:rFonts w:ascii="Arial" w:cs="Arial" w:eastAsia="Arial" w:hAnsi="Arial"/>
          <w:b w:val="false"/>
          <w:bCs w:val="false"/>
          <w:color w:val="333333"/>
          <w:sz w:val="20"/>
          <w:szCs w:val="20"/>
        </w:rPr>
        <w:t xml:space="preserve">[07] Piasecki, D.J. (2021). Inventory Management Explained. Kenosha: Ops Publishing.</w:t>
      </w:r>
    </w:p>
    <w:p>
      <w:r>
        <w:br w:type="page"/>
      </w:r>
    </w:p>
    <w:p>
      <w:pPr>
        <w:bidi/>
        <w:spacing w:before="0" w:after="220" w:line="360" w:lineRule="auto"/>
        <w:jc w:val="right"/>
      </w:pPr>
      <w:r>
        <w:rPr>
          <w:rFonts w:ascii="Traditional Arabic" w:cs="Traditional Arabic" w:eastAsia="Traditional Arabic" w:hAnsi="Traditional Arabic"/>
          <w:b/>
          <w:bCs/>
          <w:color w:val="1B2631"/>
          <w:sz w:val="32"/>
          <w:szCs w:val="32"/>
        </w:rPr>
        <w:t xml:space="preserve">الملاحق</w:t>
      </w: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الملحق أ — استمارة اقتراح موضوع المذكرة</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نسخة من الاستمارة الرسمية (استمارة_نهائية_v2) المقدَّمة لمعهد سعيدي عبد العاطي للتكوين المهني — البيض، موقَّعة من الطالب والمؤطر. الموضوع الأول المختار: «بناء نظام Mini ERP باستخدام Excel/VBA لأتمتة دورة الشراء والتخزين وتعزيز الجرد الدائم».</w:t>
      </w:r>
    </w:p>
    <w:p>
      <w:pPr>
        <w:bidi/>
        <w:spacing w:after="200" w:before="0" w:line="360" w:lineRule="auto"/>
        <w:jc w:val="center"/>
      </w:pP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الملحق ب — هيكل ملف ERP_Academie_v5_final.xlsx</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الملف يتكوَّن من تسع صفحات وظيفية: ACCUEIL — ARTICLES — FOURNISSEURS — MOUVEMENTS — TABLEAU DE BORD — INVENTAIRE — CALCULS_EOQ — HISTORIQUE — GUIDE. تشمل الصفحات معاً قاموس المواد (15 مادة)، سجل حركات كامل مع CMUP ديناميكي، لوحة قيادة بـ KPIs فورية، ووحدة حساب ويلسون بـ D مُحسَب آلياً.</w:t>
      </w:r>
    </w:p>
    <w:p>
      <w:pPr>
        <w:bidi/>
        <w:spacing w:after="200" w:before="0" w:line="360" w:lineRule="auto"/>
        <w:jc w:val="center"/>
      </w:pP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الملحق ج — نماذج الوثائق الإدارية المعتمدة</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تشمل الوثائق الأدارية المُعتمَدة في مصلحة المخازن: نموذج وصل الاستلام (Bon de Réception — BR)، نموذج وصل الإخراج (Bon de Sortie — BS)، بطاقة المخزون (Fiche de Stock)، ونموذج طلب الشراء (Demande d'Achat — DA).</w:t>
      </w:r>
    </w:p>
    <w:p>
      <w:pPr>
        <w:bidi/>
        <w:spacing w:after="200" w:before="0" w:line="360" w:lineRule="auto"/>
        <w:jc w:val="center"/>
      </w:pP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الملحق د — نتائج تحليل ABC الميداني</w:t>
      </w:r>
    </w:p>
    <w:p>
      <w:pPr>
        <w:bidi/>
        <w:spacing w:before="60" w:after="130" w:line="360" w:lineRule="auto"/>
        <w:jc w:val="right"/>
      </w:pPr>
      <w:r>
        <w:rPr>
          <w:rFonts w:ascii="Traditional Arabic" w:cs="Traditional Arabic" w:eastAsia="Traditional Arabic" w:hAnsi="Traditional Arabic"/>
          <w:b w:val="false"/>
          <w:bCs w:val="false"/>
          <w:color w:val="000000"/>
          <w:sz w:val="22"/>
          <w:szCs w:val="22"/>
        </w:rPr>
        <w:t xml:space="preserve">قائمة المواد المخزَّنة مُرتَّبة تنازلياً حسب قيمة الاستهلاك السنوي: الفئة A (ART-002 خرطوشة ليزر HP، ART-003 خرطوشة Canon، ART-011 طبل HP) — الفئة B (ART-001 رزمة A4، ART-007 رزمة A3، ART-005 دفاتر) — الفئة C (ART-004 أقلام، ART-006 دباسة، ART-008 قلم تحديد).</w:t>
      </w:r>
    </w:p>
    <w:p>
      <w:pPr>
        <w:bidi/>
        <w:spacing w:after="200" w:before="0" w:line="360" w:lineRule="auto"/>
        <w:jc w:val="center"/>
      </w:pPr>
    </w:p>
    <w:p>
      <w:pPr>
        <w:bidi/>
        <w:spacing w:before="300" w:after="160" w:line="360" w:lineRule="auto"/>
        <w:jc w:val="right"/>
      </w:pPr>
      <w:r>
        <w:rPr>
          <w:rFonts w:ascii="Traditional Arabic" w:cs="Traditional Arabic" w:eastAsia="Traditional Arabic" w:hAnsi="Traditional Arabic"/>
          <w:b/>
          <w:bCs/>
          <w:color w:val="0C447C"/>
          <w:sz w:val="28"/>
          <w:szCs w:val="28"/>
        </w:rPr>
        <w:t xml:space="preserve">الملحق هـ — كود VBA الرئيسي (مقتطف)</w:t>
      </w:r>
    </w:p>
    <w:p>
      <w:pPr>
        <w:spacing w:after="60" w:line="340" w:lineRule="auto"/>
        <w:jc w:val="left"/>
      </w:pPr>
      <w:r>
        <w:rPr>
          <w:rFonts w:ascii="Arial" w:cs="Arial" w:eastAsia="Arial" w:hAnsi="Arial"/>
          <w:b/>
          <w:bCs/>
          <w:color w:val="27AE60"/>
          <w:sz w:val="20"/>
          <w:szCs w:val="20"/>
        </w:rPr>
        <w:t xml:space="preserve">الوظيفة الأولى: Ajouter_Mouvement</w:t>
      </w:r>
    </w:p>
    <w:p>
      <w:pPr>
        <w:spacing w:after="100" w:line="340" w:lineRule="auto"/>
        <w:jc w:val="left"/>
      </w:pPr>
      <w:r>
        <w:rPr>
          <w:rFonts w:ascii="Arial" w:cs="Arial" w:eastAsia="Arial" w:hAnsi="Arial"/>
          <w:b w:val="false"/>
          <w:bCs w:val="false"/>
          <w:color w:val="333333"/>
          <w:sz w:val="18"/>
          <w:szCs w:val="18"/>
        </w:rPr>
        <w:t xml:space="preserve">Sub Ajouter_Mouvement()
    Dim ws As Worksheet, lastRow As Long
    Set ws = ThisWorkbook.Sheets("MOUVEMENTS")
    lastRow = ws.Cells(ws.Rows.Count, 1).End(xlUp).Row + 1
    ws.Cells(lastRow, 1).Value = Date
    ' ... validation et saisie
End Sub</w:t>
      </w:r>
    </w:p>
    <w:p>
      <w:pPr>
        <w:spacing w:after="60" w:line="340" w:lineRule="auto"/>
        <w:jc w:val="left"/>
      </w:pPr>
      <w:r>
        <w:rPr>
          <w:rFonts w:ascii="Arial" w:cs="Arial" w:eastAsia="Arial" w:hAnsi="Arial"/>
          <w:b/>
          <w:bCs/>
          <w:color w:val="E67E22"/>
          <w:sz w:val="20"/>
          <w:szCs w:val="20"/>
        </w:rPr>
        <w:t xml:space="preserve">الوظيفة الثانية: Verifier_Seuils</w:t>
      </w:r>
    </w:p>
    <w:p>
      <w:pPr>
        <w:spacing w:after="100" w:line="340" w:lineRule="auto"/>
        <w:jc w:val="left"/>
      </w:pPr>
      <w:r>
        <w:rPr>
          <w:rFonts w:ascii="Arial" w:cs="Arial" w:eastAsia="Arial" w:hAnsi="Arial"/>
          <w:b w:val="false"/>
          <w:bCs w:val="false"/>
          <w:color w:val="333333"/>
          <w:sz w:val="18"/>
          <w:szCs w:val="18"/>
        </w:rPr>
        <w:t xml:space="preserve">Sub Verifier_Seuils()
    ' Colore en orange si stock &lt;= ROP, en rouge si stock = 0
    Dim ws As Worksheet
    Set ws = ThisWorkbook.Sheets("TABLEAU DE BORD")
    ' ... boucle sur les articles
End Sub</w:t>
      </w:r>
    </w:p>
    <w:p>
      <w:pPr>
        <w:spacing w:after="60" w:line="340" w:lineRule="auto"/>
        <w:jc w:val="left"/>
      </w:pPr>
      <w:r>
        <w:rPr>
          <w:rFonts w:ascii="Arial" w:cs="Arial" w:eastAsia="Arial" w:hAnsi="Arial"/>
          <w:b/>
          <w:bCs/>
          <w:color w:val="1A5276"/>
          <w:sz w:val="20"/>
          <w:szCs w:val="20"/>
        </w:rPr>
        <w:t xml:space="preserve">الوظيفة الثالثة: Generer_Rapport</w:t>
      </w:r>
    </w:p>
    <w:p>
      <w:pPr>
        <w:spacing w:after="200" w:line="340" w:lineRule="auto"/>
        <w:jc w:val="left"/>
      </w:pPr>
      <w:r>
        <w:rPr>
          <w:rFonts w:ascii="Arial" w:cs="Arial" w:eastAsia="Arial" w:hAnsi="Arial"/>
          <w:b w:val="false"/>
          <w:bCs w:val="false"/>
          <w:color w:val="333333"/>
          <w:sz w:val="18"/>
          <w:szCs w:val="18"/>
        </w:rPr>
        <w:t xml:space="preserve">Sub Generer_Rapport()
    ' Exporte le TABLEAU DE BORD en PDF avec horodatage
    ThisWorkbook.Sheets("TABLEAU DE BORD").ExportAsFixedFormat _
        Type:=xlTypePDF, Filename:="Rapport_" &amp; Format(Date,"YYYY-MM-DD")
End Sub</w:t>
      </w:r>
    </w:p>
    <w:sectPr>
      <w:pgSz w:w="11906" w:h="16838" w:orient="portrait"/>
      <w:pgMar w:top="1440" w:right="1701"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2026-03-23T06:53:05.086Z</dcterms:created>
  <dcterms:modified xsi:type="dcterms:W3CDTF">2026-03-23T06:53:05.086Z</dcterms:modified>
</cp:coreProperties>
</file>

<file path=docProps/custom.xml><?xml version="1.0" encoding="utf-8"?>
<Properties xmlns="http://schemas.openxmlformats.org/officeDocument/2006/custom-properties" xmlns:vt="http://schemas.openxmlformats.org/officeDocument/2006/docPropsVTypes"/>
</file>